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59" w:rsidRDefault="009A154A" w:rsidP="000B2C8B">
      <w:pPr>
        <w:jc w:val="center"/>
      </w:pPr>
      <w:r>
        <w:rPr>
          <w:noProof/>
          <w:lang w:val="it-IT" w:eastAsia="it-IT"/>
        </w:rPr>
        <w:pict>
          <v:shapetype id="_x0000_t202" coordsize="21600,21600" o:spt="202" path="m,l,21600r21600,l21600,xe">
            <v:stroke joinstyle="miter"/>
            <v:path gradientshapeok="t" o:connecttype="rect"/>
          </v:shapetype>
          <v:shape id="Text Box 2" o:spid="_x0000_s1026" type="#_x0000_t202" style="position:absolute;left:0;text-align:left;margin-left:405.1pt;margin-top:-11pt;width:147.1pt;height:46.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" fillcolor="white [3212]" strokecolor="white [3212]">
            <v:textbox>
              <w:txbxContent>
                <w:p w:rsidR="00C1000F" w:rsidRPr="001178F8" w:rsidRDefault="00C1000F" w:rsidP="001178F8">
                  <w:pPr>
                    <w:spacing w:after="0"/>
                    <w:rPr>
                      <w:sz w:val="20"/>
                      <w:lang w:val="it-IT"/>
                    </w:rPr>
                  </w:pPr>
                  <w:r w:rsidRPr="001178F8">
                    <w:rPr>
                      <w:sz w:val="20"/>
                      <w:lang w:val="it-IT"/>
                    </w:rPr>
                    <w:t>Solo per investitori professionali</w:t>
                  </w:r>
                </w:p>
                <w:p w:rsidR="00C1000F" w:rsidRPr="001178F8" w:rsidRDefault="00C1000F" w:rsidP="001178F8">
                  <w:pPr>
                    <w:spacing w:after="0"/>
                    <w:rPr>
                      <w:sz w:val="20"/>
                      <w:lang w:val="it-IT"/>
                    </w:rPr>
                  </w:pPr>
                  <w:r w:rsidRPr="001178F8">
                    <w:rPr>
                      <w:sz w:val="20"/>
                      <w:lang w:val="it-IT"/>
                    </w:rPr>
                    <w:t xml:space="preserve">Per finalità di marketing </w:t>
                  </w:r>
                </w:p>
              </w:txbxContent>
            </v:textbox>
          </v:shape>
        </w:pict>
      </w:r>
      <w:r w:rsidR="000B2C8B">
        <w:rPr>
          <w:rFonts w:ascii="UBSHeadline" w:hAnsi="UBSHeadline"/>
          <w:noProof/>
          <w:sz w:val="32"/>
          <w:szCs w:val="32"/>
          <w:lang w:val="it-IT" w:eastAsia="it-IT"/>
        </w:rPr>
        <w:drawing>
          <wp:inline distT="0" distB="0" distL="0" distR="0">
            <wp:extent cx="1144988" cy="430063"/>
            <wp:effectExtent l="0" t="0" r="0" b="8255"/>
            <wp:docPr id="10" name="Picture 10" descr="cid:image002.png@01D18A98.05FFB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png@01D18A98.05FFB040"/>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6784" cy="430737"/>
                    </a:xfrm>
                    <a:prstGeom prst="rect">
                      <a:avLst/>
                    </a:prstGeom>
                    <a:noFill/>
                    <a:ln>
                      <a:noFill/>
                    </a:ln>
                  </pic:spPr>
                </pic:pic>
              </a:graphicData>
            </a:graphic>
          </wp:inline>
        </w:drawing>
      </w:r>
    </w:p>
    <w:p w:rsidR="000B2C8B" w:rsidRPr="004526CD" w:rsidRDefault="000B2C8B" w:rsidP="004526CD">
      <w:pPr>
        <w:ind w:left="-720" w:firstLine="720"/>
        <w:jc w:val="center"/>
        <w:rPr>
          <w:rFonts w:ascii="Frutiger 45 Light" w:hAnsi="Frutiger 45 Light"/>
          <w:sz w:val="52"/>
          <w:szCs w:val="72"/>
        </w:rPr>
      </w:pPr>
      <w:r w:rsidRPr="004526CD">
        <w:rPr>
          <w:rFonts w:ascii="Frutiger 45 Light" w:hAnsi="Frutiger 45 Light"/>
          <w:sz w:val="52"/>
          <w:szCs w:val="72"/>
        </w:rPr>
        <w:t>UBS ETF – Bloomberg Barclays EUR High Quality Liquid Assets 1-5 Bond</w:t>
      </w:r>
    </w:p>
    <w:p w:rsidR="004526CD" w:rsidRPr="00351A31" w:rsidRDefault="00AC3CA7" w:rsidP="004526CD">
      <w:pPr>
        <w:spacing w:line="240" w:lineRule="atLeast"/>
        <w:jc w:val="both"/>
        <w:rPr>
          <w:rFonts w:ascii="Frutiger 45 Light" w:hAnsi="Frutiger 45 Light"/>
          <w:sz w:val="20"/>
        </w:rPr>
      </w:pPr>
      <w:r>
        <w:rPr>
          <w:rFonts w:ascii="Frutiger 45 Light" w:hAnsi="Frutiger 45 Light"/>
          <w:sz w:val="20"/>
        </w:rPr>
        <w:t>L'</w:t>
      </w:r>
      <w:r w:rsidR="004526CD" w:rsidRPr="00351A31">
        <w:rPr>
          <w:rFonts w:ascii="Frutiger 45 Light" w:hAnsi="Frutiger 45 Light"/>
          <w:sz w:val="20"/>
        </w:rPr>
        <w:t xml:space="preserve"> </w:t>
      </w:r>
      <w:r w:rsidR="004526CD" w:rsidRPr="00351A31">
        <w:rPr>
          <w:rFonts w:ascii="Frutiger 45 Light" w:hAnsi="Frutiger 45 Light"/>
          <w:b/>
          <w:sz w:val="20"/>
        </w:rPr>
        <w:t>UBS ETF – Bloomberg Barclays EUR High Quality Liquid Assets 1-5 Bond UCITS ETF</w:t>
      </w:r>
      <w:r w:rsidR="004526CD" w:rsidRPr="00351A31">
        <w:rPr>
          <w:rFonts w:ascii="Frutiger 45 Light" w:hAnsi="Frutiger 45 Light"/>
          <w:sz w:val="20"/>
        </w:rPr>
        <w:t xml:space="preserve"> </w:t>
      </w:r>
      <w:r>
        <w:rPr>
          <w:rFonts w:ascii="Frutiger 45 Light" w:hAnsi="Frutiger 45 Light"/>
          <w:sz w:val="20"/>
        </w:rPr>
        <w:t xml:space="preserve">ha </w:t>
      </w:r>
      <w:proofErr w:type="spellStart"/>
      <w:r>
        <w:rPr>
          <w:rFonts w:ascii="Frutiger 45 Light" w:hAnsi="Frutiger 45 Light"/>
          <w:sz w:val="20"/>
        </w:rPr>
        <w:t>l'obiettivo</w:t>
      </w:r>
      <w:proofErr w:type="spellEnd"/>
      <w:r>
        <w:rPr>
          <w:rFonts w:ascii="Frutiger 45 Light" w:hAnsi="Frutiger 45 Light"/>
          <w:sz w:val="20"/>
        </w:rPr>
        <w:t xml:space="preserve"> di </w:t>
      </w:r>
      <w:proofErr w:type="spellStart"/>
      <w:r>
        <w:rPr>
          <w:rFonts w:ascii="Frutiger 45 Light" w:hAnsi="Frutiger 45 Light"/>
          <w:sz w:val="20"/>
        </w:rPr>
        <w:t>replicare</w:t>
      </w:r>
      <w:proofErr w:type="spellEnd"/>
      <w:r>
        <w:rPr>
          <w:rFonts w:ascii="Frutiger 45 Light" w:hAnsi="Frutiger 45 Light"/>
          <w:sz w:val="20"/>
        </w:rPr>
        <w:t xml:space="preserve"> </w:t>
      </w:r>
      <w:proofErr w:type="spellStart"/>
      <w:r>
        <w:rPr>
          <w:rFonts w:ascii="Frutiger 45 Light" w:hAnsi="Frutiger 45 Light"/>
          <w:sz w:val="20"/>
        </w:rPr>
        <w:t>l'indice</w:t>
      </w:r>
      <w:proofErr w:type="spellEnd"/>
      <w:r w:rsidR="004526CD" w:rsidRPr="00351A31">
        <w:rPr>
          <w:rFonts w:ascii="Frutiger 45 Light" w:hAnsi="Frutiger 45 Light"/>
          <w:sz w:val="20"/>
        </w:rPr>
        <w:t xml:space="preserve"> </w:t>
      </w:r>
      <w:r w:rsidR="004526CD" w:rsidRPr="00351A31">
        <w:rPr>
          <w:rFonts w:ascii="Frutiger 45 Light" w:hAnsi="Frutiger 45 Light"/>
          <w:b/>
          <w:sz w:val="20"/>
        </w:rPr>
        <w:t>Bloomberg Barclays Euro HQLA 1-5 Years Bond Index</w:t>
      </w:r>
      <w:r w:rsidR="004526CD" w:rsidRPr="00351A31">
        <w:rPr>
          <w:rFonts w:ascii="Frutiger 45 Light" w:hAnsi="Frutiger 45 Light"/>
          <w:sz w:val="20"/>
        </w:rPr>
        <w:t>.</w:t>
      </w:r>
    </w:p>
    <w:tbl>
      <w:tblPr>
        <w:tblStyle w:val="Grigliatabella"/>
        <w:tblpPr w:leftFromText="180" w:rightFromText="180" w:vertAnchor="text" w:horzAnchor="margin" w:tblpXSpec="center" w:tblpY="16"/>
        <w:tblOverlap w:val="never"/>
        <w:tblW w:w="4528" w:type="dxa"/>
        <w:tblBorders>
          <w:left w:val="none" w:sz="0" w:space="0" w:color="auto"/>
          <w:right w:val="none" w:sz="0" w:space="0" w:color="auto"/>
          <w:insideV w:val="none" w:sz="0" w:space="0" w:color="auto"/>
        </w:tblBorders>
        <w:tblLook w:val="04A0"/>
      </w:tblPr>
      <w:tblGrid>
        <w:gridCol w:w="2191"/>
        <w:gridCol w:w="2337"/>
      </w:tblGrid>
      <w:tr w:rsidR="004526CD" w:rsidRPr="0089344B" w:rsidTr="001E21E9">
        <w:trPr>
          <w:trHeight w:val="414"/>
        </w:trPr>
        <w:tc>
          <w:tcPr>
            <w:tcW w:w="2191" w:type="dxa"/>
            <w:vAlign w:val="center"/>
          </w:tcPr>
          <w:p w:rsidR="004526CD" w:rsidRPr="00351A31" w:rsidRDefault="004526CD" w:rsidP="00933668">
            <w:pPr>
              <w:jc w:val="center"/>
              <w:rPr>
                <w:rFonts w:ascii="Frutiger 45 Light" w:hAnsi="Frutiger 45 Light"/>
                <w:b/>
                <w:sz w:val="20"/>
              </w:rPr>
            </w:pPr>
            <w:r w:rsidRPr="00351A31">
              <w:rPr>
                <w:rFonts w:ascii="Frutiger 45 Light" w:hAnsi="Frutiger 45 Light"/>
                <w:b/>
                <w:sz w:val="20"/>
              </w:rPr>
              <w:t>Bloomberg</w:t>
            </w:r>
          </w:p>
        </w:tc>
        <w:tc>
          <w:tcPr>
            <w:tcW w:w="2337" w:type="dxa"/>
            <w:vAlign w:val="center"/>
          </w:tcPr>
          <w:p w:rsidR="004526CD" w:rsidRPr="00351A31" w:rsidRDefault="004526CD" w:rsidP="00933668">
            <w:pPr>
              <w:jc w:val="center"/>
              <w:rPr>
                <w:rFonts w:ascii="Frutiger 45 Light" w:hAnsi="Frutiger 45 Light"/>
                <w:b/>
                <w:sz w:val="20"/>
              </w:rPr>
            </w:pPr>
            <w:r w:rsidRPr="00351A31">
              <w:rPr>
                <w:rFonts w:ascii="Frutiger 45 Light" w:hAnsi="Frutiger 45 Light"/>
                <w:b/>
                <w:sz w:val="20"/>
              </w:rPr>
              <w:t>HQLA1</w:t>
            </w:r>
          </w:p>
        </w:tc>
      </w:tr>
      <w:tr w:rsidR="004526CD" w:rsidRPr="0089344B" w:rsidTr="001E21E9">
        <w:trPr>
          <w:trHeight w:val="442"/>
        </w:trPr>
        <w:tc>
          <w:tcPr>
            <w:tcW w:w="2191" w:type="dxa"/>
            <w:vAlign w:val="center"/>
          </w:tcPr>
          <w:p w:rsidR="004526CD" w:rsidRPr="00351A31" w:rsidRDefault="004526CD" w:rsidP="00933668">
            <w:pPr>
              <w:jc w:val="center"/>
              <w:rPr>
                <w:rFonts w:ascii="Frutiger 45 Light" w:hAnsi="Frutiger 45 Light"/>
                <w:sz w:val="20"/>
              </w:rPr>
            </w:pPr>
            <w:r w:rsidRPr="00351A31">
              <w:rPr>
                <w:rFonts w:ascii="Frutiger 45 Light" w:hAnsi="Frutiger 45 Light"/>
                <w:sz w:val="20"/>
              </w:rPr>
              <w:t>ISIN</w:t>
            </w:r>
          </w:p>
        </w:tc>
        <w:tc>
          <w:tcPr>
            <w:tcW w:w="2337" w:type="dxa"/>
            <w:vAlign w:val="center"/>
          </w:tcPr>
          <w:p w:rsidR="004526CD" w:rsidRPr="00351A31" w:rsidRDefault="004526CD" w:rsidP="00933668">
            <w:pPr>
              <w:jc w:val="center"/>
              <w:rPr>
                <w:rFonts w:ascii="Frutiger 45 Light" w:hAnsi="Frutiger 45 Light"/>
                <w:sz w:val="20"/>
              </w:rPr>
            </w:pPr>
            <w:r w:rsidRPr="00351A31">
              <w:rPr>
                <w:rFonts w:ascii="Frutiger 45 Light" w:hAnsi="Frutiger 45 Light"/>
                <w:sz w:val="20"/>
              </w:rPr>
              <w:t>LU1805389258</w:t>
            </w:r>
          </w:p>
        </w:tc>
      </w:tr>
      <w:tr w:rsidR="004526CD" w:rsidRPr="00DE3BFD" w:rsidTr="001E21E9">
        <w:trPr>
          <w:trHeight w:val="384"/>
        </w:trPr>
        <w:tc>
          <w:tcPr>
            <w:tcW w:w="2191" w:type="dxa"/>
            <w:vAlign w:val="center"/>
          </w:tcPr>
          <w:p w:rsidR="004526CD" w:rsidRPr="00351A31" w:rsidRDefault="004526CD" w:rsidP="00933668">
            <w:pPr>
              <w:jc w:val="center"/>
              <w:rPr>
                <w:rFonts w:ascii="Frutiger 45 Light" w:hAnsi="Frutiger 45 Light"/>
                <w:sz w:val="20"/>
              </w:rPr>
            </w:pPr>
            <w:r w:rsidRPr="00351A31">
              <w:rPr>
                <w:rFonts w:ascii="Frutiger 45 Light" w:hAnsi="Frutiger 45 Light"/>
                <w:sz w:val="20"/>
              </w:rPr>
              <w:t xml:space="preserve">Listing </w:t>
            </w:r>
            <w:proofErr w:type="spellStart"/>
            <w:r w:rsidRPr="00351A31">
              <w:rPr>
                <w:rFonts w:ascii="Frutiger 45 Light" w:hAnsi="Frutiger 45 Light"/>
                <w:sz w:val="20"/>
              </w:rPr>
              <w:t>Borsa</w:t>
            </w:r>
            <w:proofErr w:type="spellEnd"/>
          </w:p>
        </w:tc>
        <w:tc>
          <w:tcPr>
            <w:tcW w:w="2337" w:type="dxa"/>
            <w:vAlign w:val="center"/>
          </w:tcPr>
          <w:p w:rsidR="004526CD" w:rsidRPr="00351A31" w:rsidRDefault="00A3657D" w:rsidP="00933668">
            <w:pPr>
              <w:jc w:val="center"/>
              <w:rPr>
                <w:rFonts w:ascii="Frutiger 45 Light" w:hAnsi="Frutiger 45 Light"/>
                <w:sz w:val="20"/>
              </w:rPr>
            </w:pPr>
            <w:r>
              <w:rPr>
                <w:rFonts w:ascii="Frutiger 45 Light" w:hAnsi="Frutiger 45 Light"/>
                <w:sz w:val="20"/>
              </w:rPr>
              <w:t xml:space="preserve">4 </w:t>
            </w:r>
            <w:proofErr w:type="spellStart"/>
            <w:r>
              <w:rPr>
                <w:rFonts w:ascii="Frutiger 45 Light" w:hAnsi="Frutiger 45 Light"/>
                <w:sz w:val="20"/>
              </w:rPr>
              <w:t>Luglio</w:t>
            </w:r>
            <w:proofErr w:type="spellEnd"/>
            <w:r w:rsidR="004526CD" w:rsidRPr="00351A31">
              <w:rPr>
                <w:rFonts w:ascii="Frutiger 45 Light" w:hAnsi="Frutiger 45 Light"/>
                <w:sz w:val="20"/>
              </w:rPr>
              <w:t xml:space="preserve"> 2018</w:t>
            </w:r>
          </w:p>
        </w:tc>
      </w:tr>
      <w:tr w:rsidR="004526CD" w:rsidRPr="00DE3BFD" w:rsidTr="001E21E9">
        <w:trPr>
          <w:trHeight w:val="442"/>
        </w:trPr>
        <w:tc>
          <w:tcPr>
            <w:tcW w:w="2191" w:type="dxa"/>
            <w:vAlign w:val="center"/>
          </w:tcPr>
          <w:p w:rsidR="004526CD" w:rsidRPr="00351A31" w:rsidRDefault="004526CD" w:rsidP="00933668">
            <w:pPr>
              <w:jc w:val="center"/>
              <w:rPr>
                <w:rFonts w:ascii="Frutiger 45 Light" w:hAnsi="Frutiger 45 Light"/>
                <w:sz w:val="20"/>
              </w:rPr>
            </w:pPr>
            <w:r w:rsidRPr="00351A31">
              <w:rPr>
                <w:rFonts w:ascii="Frutiger 45 Light" w:hAnsi="Frutiger 45 Light"/>
                <w:sz w:val="20"/>
              </w:rPr>
              <w:t>TER</w:t>
            </w:r>
          </w:p>
        </w:tc>
        <w:tc>
          <w:tcPr>
            <w:tcW w:w="2337" w:type="dxa"/>
            <w:vAlign w:val="center"/>
          </w:tcPr>
          <w:p w:rsidR="004526CD" w:rsidRPr="00351A31" w:rsidRDefault="004526CD" w:rsidP="00933668">
            <w:pPr>
              <w:jc w:val="center"/>
              <w:rPr>
                <w:rFonts w:ascii="Frutiger 45 Light" w:hAnsi="Frutiger 45 Light"/>
                <w:sz w:val="20"/>
              </w:rPr>
            </w:pPr>
            <w:r w:rsidRPr="00351A31">
              <w:rPr>
                <w:rFonts w:ascii="Frutiger 45 Light" w:hAnsi="Frutiger 45 Light"/>
                <w:sz w:val="20"/>
              </w:rPr>
              <w:t>0.18%</w:t>
            </w:r>
          </w:p>
        </w:tc>
      </w:tr>
      <w:tr w:rsidR="00DD3491" w:rsidRPr="00DE3BFD" w:rsidTr="001E21E9">
        <w:trPr>
          <w:trHeight w:val="442"/>
        </w:trPr>
        <w:tc>
          <w:tcPr>
            <w:tcW w:w="2191" w:type="dxa"/>
            <w:vAlign w:val="center"/>
          </w:tcPr>
          <w:p w:rsidR="00DD3491" w:rsidRPr="00351A31" w:rsidRDefault="00DD3491" w:rsidP="00933668">
            <w:pPr>
              <w:jc w:val="center"/>
              <w:rPr>
                <w:rFonts w:ascii="Frutiger 45 Light" w:hAnsi="Frutiger 45 Light"/>
                <w:sz w:val="20"/>
              </w:rPr>
            </w:pPr>
            <w:r>
              <w:rPr>
                <w:rFonts w:ascii="Frutiger 45 Light" w:hAnsi="Frutiger 45 Light"/>
                <w:sz w:val="20"/>
              </w:rPr>
              <w:t>Duration M.</w:t>
            </w:r>
            <w:r w:rsidR="008F4A78">
              <w:rPr>
                <w:rFonts w:ascii="Frutiger 45 Light" w:hAnsi="Frutiger 45 Light"/>
                <w:sz w:val="20"/>
              </w:rPr>
              <w:t>*</w:t>
            </w:r>
          </w:p>
        </w:tc>
        <w:tc>
          <w:tcPr>
            <w:tcW w:w="2337" w:type="dxa"/>
            <w:vAlign w:val="center"/>
          </w:tcPr>
          <w:p w:rsidR="00DD3491" w:rsidRPr="00351A31" w:rsidRDefault="00DD3491" w:rsidP="00933668">
            <w:pPr>
              <w:jc w:val="center"/>
              <w:rPr>
                <w:rFonts w:ascii="Frutiger 45 Light" w:hAnsi="Frutiger 45 Light"/>
                <w:sz w:val="20"/>
              </w:rPr>
            </w:pPr>
            <w:r>
              <w:rPr>
                <w:rFonts w:ascii="Frutiger 45 Light" w:hAnsi="Frutiger 45 Light"/>
                <w:sz w:val="20"/>
              </w:rPr>
              <w:t>2.9</w:t>
            </w:r>
            <w:r w:rsidR="00F059E7">
              <w:rPr>
                <w:rFonts w:ascii="Frutiger 45 Light" w:hAnsi="Frutiger 45 Light"/>
                <w:sz w:val="20"/>
              </w:rPr>
              <w:t>8</w:t>
            </w:r>
          </w:p>
        </w:tc>
      </w:tr>
      <w:tr w:rsidR="004C0FE4" w:rsidRPr="00DE3BFD" w:rsidTr="001E21E9">
        <w:trPr>
          <w:trHeight w:val="442"/>
        </w:trPr>
        <w:tc>
          <w:tcPr>
            <w:tcW w:w="2191" w:type="dxa"/>
            <w:tcBorders>
              <w:bottom w:val="single" w:sz="4" w:space="0" w:color="auto"/>
            </w:tcBorders>
            <w:vAlign w:val="center"/>
          </w:tcPr>
          <w:p w:rsidR="004C0FE4" w:rsidRDefault="004C0FE4" w:rsidP="00933668">
            <w:pPr>
              <w:jc w:val="center"/>
              <w:rPr>
                <w:rFonts w:ascii="Frutiger 45 Light" w:hAnsi="Frutiger 45 Light"/>
                <w:sz w:val="20"/>
              </w:rPr>
            </w:pPr>
            <w:r>
              <w:rPr>
                <w:rFonts w:ascii="Frutiger 45 Light" w:hAnsi="Frutiger 45 Light"/>
                <w:sz w:val="20"/>
              </w:rPr>
              <w:t>YTM</w:t>
            </w:r>
            <w:r w:rsidR="008F4A78">
              <w:rPr>
                <w:rFonts w:ascii="Frutiger 45 Light" w:hAnsi="Frutiger 45 Light"/>
                <w:sz w:val="20"/>
              </w:rPr>
              <w:t>*</w:t>
            </w:r>
          </w:p>
        </w:tc>
        <w:tc>
          <w:tcPr>
            <w:tcW w:w="2337" w:type="dxa"/>
            <w:tcBorders>
              <w:bottom w:val="single" w:sz="4" w:space="0" w:color="auto"/>
            </w:tcBorders>
            <w:vAlign w:val="center"/>
          </w:tcPr>
          <w:p w:rsidR="004C0FE4" w:rsidRDefault="00F059E7" w:rsidP="0044132E">
            <w:pPr>
              <w:jc w:val="center"/>
              <w:rPr>
                <w:rFonts w:ascii="Frutiger 45 Light" w:hAnsi="Frutiger 45 Light"/>
                <w:sz w:val="20"/>
              </w:rPr>
            </w:pPr>
            <w:r>
              <w:rPr>
                <w:rFonts w:ascii="Frutiger 45 Light" w:hAnsi="Frutiger 45 Light"/>
                <w:sz w:val="20"/>
              </w:rPr>
              <w:t>0.2</w:t>
            </w:r>
            <w:r w:rsidR="0044132E">
              <w:rPr>
                <w:rFonts w:ascii="Frutiger 45 Light" w:hAnsi="Frutiger 45 Light"/>
                <w:sz w:val="20"/>
              </w:rPr>
              <w:t>1</w:t>
            </w:r>
            <w:r>
              <w:rPr>
                <w:rFonts w:ascii="Frutiger 45 Light" w:hAnsi="Frutiger 45 Light"/>
                <w:sz w:val="20"/>
              </w:rPr>
              <w:t>%</w:t>
            </w:r>
          </w:p>
        </w:tc>
      </w:tr>
      <w:tr w:rsidR="008F4A78" w:rsidRPr="00DE3BFD" w:rsidTr="001E21E9">
        <w:trPr>
          <w:trHeight w:val="130"/>
        </w:trPr>
        <w:tc>
          <w:tcPr>
            <w:tcW w:w="2191" w:type="dxa"/>
            <w:tcBorders>
              <w:bottom w:val="nil"/>
            </w:tcBorders>
            <w:vAlign w:val="center"/>
          </w:tcPr>
          <w:p w:rsidR="008F4A78" w:rsidRDefault="008F4A78" w:rsidP="0044132E">
            <w:pPr>
              <w:jc w:val="center"/>
              <w:rPr>
                <w:rFonts w:ascii="Frutiger 45 Light" w:hAnsi="Frutiger 45 Light"/>
                <w:sz w:val="20"/>
              </w:rPr>
            </w:pPr>
            <w:r>
              <w:rPr>
                <w:rFonts w:ascii="Frutiger 45 Light" w:hAnsi="Frutiger 45 Light"/>
                <w:sz w:val="20"/>
              </w:rPr>
              <w:t>*</w:t>
            </w:r>
            <w:r w:rsidRPr="008F4A78">
              <w:rPr>
                <w:rFonts w:ascii="Frutiger 45 Light" w:hAnsi="Frutiger 45 Light"/>
                <w:sz w:val="12"/>
              </w:rPr>
              <w:t>Blo</w:t>
            </w:r>
            <w:r w:rsidR="00AC3CA7">
              <w:rPr>
                <w:rFonts w:ascii="Frutiger 45 Light" w:hAnsi="Frutiger 45 Light"/>
                <w:sz w:val="12"/>
              </w:rPr>
              <w:t xml:space="preserve">omberg, </w:t>
            </w:r>
            <w:proofErr w:type="spellStart"/>
            <w:r w:rsidR="00AC3CA7">
              <w:rPr>
                <w:rFonts w:ascii="Frutiger 45 Light" w:hAnsi="Frutiger 45 Light"/>
                <w:sz w:val="12"/>
              </w:rPr>
              <w:t>dati</w:t>
            </w:r>
            <w:proofErr w:type="spellEnd"/>
            <w:r w:rsidR="00AC3CA7">
              <w:rPr>
                <w:rFonts w:ascii="Frutiger 45 Light" w:hAnsi="Frutiger 45 Light"/>
                <w:sz w:val="12"/>
              </w:rPr>
              <w:t xml:space="preserve"> al</w:t>
            </w:r>
            <w:r w:rsidR="00F059E7">
              <w:rPr>
                <w:rFonts w:ascii="Frutiger 45 Light" w:hAnsi="Frutiger 45 Light"/>
                <w:sz w:val="12"/>
              </w:rPr>
              <w:t xml:space="preserve"> </w:t>
            </w:r>
            <w:r w:rsidR="0044132E">
              <w:rPr>
                <w:rFonts w:ascii="Frutiger 45 Light" w:hAnsi="Frutiger 45 Light"/>
                <w:sz w:val="12"/>
              </w:rPr>
              <w:t>03</w:t>
            </w:r>
            <w:r w:rsidR="00F059E7">
              <w:rPr>
                <w:rFonts w:ascii="Frutiger 45 Light" w:hAnsi="Frutiger 45 Light"/>
                <w:sz w:val="12"/>
              </w:rPr>
              <w:t>/0</w:t>
            </w:r>
            <w:r w:rsidR="0044132E">
              <w:rPr>
                <w:rFonts w:ascii="Frutiger 45 Light" w:hAnsi="Frutiger 45 Light"/>
                <w:sz w:val="12"/>
              </w:rPr>
              <w:t>7</w:t>
            </w:r>
            <w:r w:rsidR="00F059E7">
              <w:rPr>
                <w:rFonts w:ascii="Frutiger 45 Light" w:hAnsi="Frutiger 45 Light"/>
                <w:sz w:val="12"/>
              </w:rPr>
              <w:t>/2018</w:t>
            </w:r>
          </w:p>
        </w:tc>
        <w:tc>
          <w:tcPr>
            <w:tcW w:w="2337" w:type="dxa"/>
            <w:tcBorders>
              <w:bottom w:val="nil"/>
            </w:tcBorders>
            <w:vAlign w:val="center"/>
          </w:tcPr>
          <w:p w:rsidR="008F4A78" w:rsidRDefault="008F4A78" w:rsidP="00933668">
            <w:pPr>
              <w:jc w:val="center"/>
              <w:rPr>
                <w:rFonts w:ascii="Frutiger 45 Light" w:hAnsi="Frutiger 45 Light"/>
                <w:sz w:val="20"/>
              </w:rPr>
            </w:pPr>
          </w:p>
        </w:tc>
      </w:tr>
    </w:tbl>
    <w:p w:rsidR="004526CD" w:rsidRDefault="004526CD" w:rsidP="004526CD">
      <w:pPr>
        <w:spacing w:line="240" w:lineRule="atLeast"/>
        <w:jc w:val="both"/>
        <w:rPr>
          <w:rFonts w:ascii="Frutiger 45 Light" w:hAnsi="Frutiger 45 Light"/>
          <w:lang w:val="it-IT"/>
        </w:rPr>
      </w:pPr>
    </w:p>
    <w:p w:rsidR="004526CD" w:rsidRPr="004526CD" w:rsidRDefault="004526CD" w:rsidP="004526CD">
      <w:pPr>
        <w:spacing w:line="240" w:lineRule="atLeast"/>
        <w:jc w:val="both"/>
        <w:rPr>
          <w:rFonts w:ascii="Frutiger 45 Light" w:hAnsi="Frutiger 45 Light"/>
          <w:lang w:val="it-IT"/>
        </w:rPr>
      </w:pPr>
    </w:p>
    <w:p w:rsidR="004526CD" w:rsidRDefault="004526CD" w:rsidP="004526CD">
      <w:pPr>
        <w:spacing w:line="240" w:lineRule="atLeast"/>
        <w:jc w:val="both"/>
        <w:rPr>
          <w:rFonts w:ascii="Arial" w:hAnsi="Arial" w:cs="Arial"/>
          <w:color w:val="000000"/>
          <w:sz w:val="18"/>
          <w:szCs w:val="18"/>
        </w:rPr>
      </w:pPr>
    </w:p>
    <w:p w:rsidR="004C0FE4" w:rsidRDefault="004C0FE4" w:rsidP="008F4A78">
      <w:pPr>
        <w:spacing w:after="0" w:line="240" w:lineRule="auto"/>
        <w:jc w:val="center"/>
        <w:rPr>
          <w:rFonts w:ascii="Frutiger 45 Light" w:hAnsi="Frutiger 45 Light"/>
          <w:sz w:val="36"/>
          <w:szCs w:val="72"/>
        </w:rPr>
      </w:pPr>
    </w:p>
    <w:p w:rsidR="008F4A78" w:rsidRDefault="008F4A78" w:rsidP="008F4A78">
      <w:pPr>
        <w:spacing w:after="0" w:line="240" w:lineRule="auto"/>
        <w:jc w:val="center"/>
        <w:rPr>
          <w:rFonts w:ascii="Frutiger45Light" w:hAnsi="Frutiger45Light" w:cs="Frutiger45Light"/>
          <w:sz w:val="14"/>
        </w:rPr>
      </w:pPr>
      <w:r>
        <w:rPr>
          <w:rFonts w:ascii="Frutiger45Light" w:hAnsi="Frutiger45Light" w:cs="Frutiger45Light"/>
          <w:sz w:val="14"/>
        </w:rPr>
        <w:t xml:space="preserve">                                                     </w:t>
      </w:r>
    </w:p>
    <w:p w:rsidR="008F4A78" w:rsidRDefault="008F4A78" w:rsidP="004C0FE4">
      <w:pPr>
        <w:spacing w:after="0" w:line="240" w:lineRule="auto"/>
        <w:jc w:val="center"/>
        <w:rPr>
          <w:rFonts w:ascii="Frutiger45Light" w:hAnsi="Frutiger45Light" w:cs="Frutiger45Light"/>
          <w:sz w:val="14"/>
        </w:rPr>
      </w:pPr>
    </w:p>
    <w:p w:rsidR="008F4A78" w:rsidRDefault="008F4A78" w:rsidP="008F4A78">
      <w:pPr>
        <w:spacing w:line="240" w:lineRule="auto"/>
        <w:rPr>
          <w:rFonts w:ascii="Frutiger 45 Light" w:hAnsi="Frutiger 45 Light"/>
          <w:sz w:val="36"/>
          <w:szCs w:val="72"/>
        </w:rPr>
      </w:pPr>
    </w:p>
    <w:p w:rsidR="001E21E9" w:rsidRDefault="001E21E9" w:rsidP="008F4A78">
      <w:pPr>
        <w:spacing w:line="240" w:lineRule="auto"/>
        <w:jc w:val="center"/>
        <w:rPr>
          <w:rFonts w:ascii="Frutiger 45 Light" w:hAnsi="Frutiger 45 Light"/>
          <w:sz w:val="36"/>
          <w:szCs w:val="72"/>
        </w:rPr>
      </w:pPr>
    </w:p>
    <w:p w:rsidR="000B2C8B" w:rsidRDefault="00E2553F" w:rsidP="008F4A78">
      <w:pPr>
        <w:spacing w:line="240" w:lineRule="auto"/>
        <w:jc w:val="center"/>
        <w:rPr>
          <w:rFonts w:ascii="Frutiger 45 Light" w:hAnsi="Frutiger 45 Light"/>
          <w:sz w:val="36"/>
          <w:szCs w:val="72"/>
        </w:rPr>
      </w:pPr>
      <w:proofErr w:type="spellStart"/>
      <w:r>
        <w:rPr>
          <w:rFonts w:ascii="Frutiger 45 Light" w:hAnsi="Frutiger 45 Light"/>
          <w:sz w:val="36"/>
          <w:szCs w:val="72"/>
        </w:rPr>
        <w:t>L'indice</w:t>
      </w:r>
      <w:proofErr w:type="spellEnd"/>
      <w:r>
        <w:rPr>
          <w:rFonts w:ascii="Frutiger 45 Light" w:hAnsi="Frutiger 45 Light"/>
          <w:sz w:val="36"/>
          <w:szCs w:val="72"/>
        </w:rPr>
        <w:t xml:space="preserve"> </w:t>
      </w:r>
      <w:r w:rsidR="004526CD">
        <w:rPr>
          <w:rFonts w:ascii="Frutiger 45 Light" w:hAnsi="Frutiger 45 Light"/>
          <w:sz w:val="36"/>
          <w:szCs w:val="72"/>
        </w:rPr>
        <w:t xml:space="preserve">Euro HQLA 1-5 Years Bond </w:t>
      </w:r>
    </w:p>
    <w:p w:rsidR="00CD362C" w:rsidRPr="00A3657D" w:rsidRDefault="00AC3CA7" w:rsidP="001E21E9">
      <w:pPr>
        <w:pStyle w:val="Paragrafoelenco"/>
        <w:numPr>
          <w:ilvl w:val="0"/>
          <w:numId w:val="1"/>
        </w:numPr>
        <w:spacing w:line="240" w:lineRule="auto"/>
        <w:jc w:val="both"/>
        <w:rPr>
          <w:rFonts w:ascii="Frutiger 45 Light" w:hAnsi="Frutiger 45 Light"/>
          <w:sz w:val="20"/>
          <w:lang w:val="it-IT"/>
        </w:rPr>
      </w:pPr>
      <w:r w:rsidRPr="00A3657D">
        <w:rPr>
          <w:rFonts w:ascii="Frutiger 45 Light" w:hAnsi="Frutiger 45 Light"/>
          <w:sz w:val="20"/>
          <w:lang w:val="it-IT"/>
        </w:rPr>
        <w:t xml:space="preserve">L'indice </w:t>
      </w:r>
      <w:r w:rsidR="00050294" w:rsidRPr="00A3657D">
        <w:rPr>
          <w:rFonts w:ascii="Frutiger 45 Light" w:hAnsi="Frutiger 45 Light"/>
          <w:sz w:val="20"/>
          <w:lang w:val="it-IT"/>
        </w:rPr>
        <w:t>com</w:t>
      </w:r>
      <w:r w:rsidR="00A3657D" w:rsidRPr="00A3657D">
        <w:rPr>
          <w:rFonts w:ascii="Frutiger 45 Light" w:hAnsi="Frutiger 45 Light"/>
          <w:sz w:val="20"/>
          <w:lang w:val="it-IT"/>
        </w:rPr>
        <w:t>prende le obbligazioni di emitt</w:t>
      </w:r>
      <w:r w:rsidR="00050294" w:rsidRPr="00A3657D">
        <w:rPr>
          <w:rFonts w:ascii="Frutiger 45 Light" w:hAnsi="Frutiger 45 Light"/>
          <w:sz w:val="20"/>
          <w:lang w:val="it-IT"/>
        </w:rPr>
        <w:t>e</w:t>
      </w:r>
      <w:r w:rsidR="00A3657D" w:rsidRPr="00A3657D">
        <w:rPr>
          <w:rFonts w:ascii="Frutiger 45 Light" w:hAnsi="Frutiger 45 Light"/>
          <w:sz w:val="20"/>
          <w:lang w:val="it-IT"/>
        </w:rPr>
        <w:t>n</w:t>
      </w:r>
      <w:r w:rsidR="00050294" w:rsidRPr="00A3657D">
        <w:rPr>
          <w:rFonts w:ascii="Frutiger 45 Light" w:hAnsi="Frutiger 45 Light"/>
          <w:sz w:val="20"/>
          <w:lang w:val="it-IT"/>
        </w:rPr>
        <w:t>ti dell'</w:t>
      </w:r>
      <w:r w:rsidR="00050294" w:rsidRPr="00A3657D">
        <w:rPr>
          <w:rFonts w:ascii="Frutiger 45 Light" w:hAnsi="Frutiger 45 Light"/>
          <w:b/>
          <w:sz w:val="20"/>
          <w:lang w:val="it-IT"/>
        </w:rPr>
        <w:t>eu</w:t>
      </w:r>
      <w:r w:rsidR="00A3657D" w:rsidRPr="00A3657D">
        <w:rPr>
          <w:rFonts w:ascii="Frutiger 45 Light" w:hAnsi="Frutiger 45 Light"/>
          <w:b/>
          <w:sz w:val="20"/>
          <w:lang w:val="it-IT"/>
        </w:rPr>
        <w:t>rozona</w:t>
      </w:r>
      <w:r w:rsidR="00A3657D" w:rsidRPr="00A3657D">
        <w:rPr>
          <w:rFonts w:ascii="Frutiger 45 Light" w:hAnsi="Frutiger 45 Light"/>
          <w:sz w:val="20"/>
          <w:lang w:val="it-IT"/>
        </w:rPr>
        <w:t xml:space="preserve"> di di</w:t>
      </w:r>
      <w:r w:rsidR="00A3657D">
        <w:rPr>
          <w:rFonts w:ascii="Frutiger 45 Light" w:hAnsi="Frutiger 45 Light"/>
          <w:sz w:val="20"/>
          <w:lang w:val="it-IT"/>
        </w:rPr>
        <w:t>fferenti</w:t>
      </w:r>
      <w:r w:rsidR="00A3657D" w:rsidRPr="00A3657D">
        <w:rPr>
          <w:rFonts w:ascii="Frutiger 45 Light" w:hAnsi="Frutiger 45 Light"/>
          <w:sz w:val="20"/>
          <w:lang w:val="it-IT"/>
        </w:rPr>
        <w:t xml:space="preserve"> categorie: </w:t>
      </w:r>
      <w:r w:rsidR="00A3657D" w:rsidRPr="00A3657D">
        <w:rPr>
          <w:rFonts w:ascii="Frutiger 45 Light" w:hAnsi="Frutiger 45 Light"/>
          <w:b/>
          <w:sz w:val="20"/>
          <w:lang w:val="it-IT"/>
        </w:rPr>
        <w:t>T</w:t>
      </w:r>
      <w:r w:rsidR="00050294" w:rsidRPr="00A3657D">
        <w:rPr>
          <w:rFonts w:ascii="Frutiger 45 Light" w:hAnsi="Frutiger 45 Light"/>
          <w:b/>
          <w:sz w:val="20"/>
          <w:lang w:val="it-IT"/>
        </w:rPr>
        <w:t>itoli del Tesoro, Governativi,</w:t>
      </w:r>
      <w:r w:rsidR="00A3657D" w:rsidRPr="00A3657D">
        <w:rPr>
          <w:rFonts w:ascii="Frutiger 45 Light" w:hAnsi="Frutiger 45 Light"/>
          <w:b/>
          <w:sz w:val="20"/>
          <w:lang w:val="it-IT"/>
        </w:rPr>
        <w:t xml:space="preserve"> Obbligazioni Garantite, Obbligazioni Societarie esclusi i titoli del settore finanziario.</w:t>
      </w:r>
    </w:p>
    <w:p w:rsidR="00A3657D" w:rsidRPr="00A3657D" w:rsidRDefault="00A3657D" w:rsidP="001E21E9">
      <w:pPr>
        <w:pStyle w:val="Paragrafoelenco"/>
        <w:spacing w:line="240" w:lineRule="auto"/>
        <w:jc w:val="both"/>
        <w:rPr>
          <w:rFonts w:ascii="Frutiger 45 Light" w:hAnsi="Frutiger 45 Light"/>
          <w:sz w:val="20"/>
          <w:lang w:val="it-IT"/>
        </w:rPr>
      </w:pPr>
    </w:p>
    <w:p w:rsidR="00A3657D" w:rsidRPr="00A3657D" w:rsidRDefault="00AC3CA7" w:rsidP="001E21E9">
      <w:pPr>
        <w:pStyle w:val="Paragrafoelenco"/>
        <w:numPr>
          <w:ilvl w:val="0"/>
          <w:numId w:val="1"/>
        </w:numPr>
        <w:spacing w:line="240" w:lineRule="auto"/>
        <w:jc w:val="both"/>
        <w:rPr>
          <w:rFonts w:ascii="Frutiger 45 Light" w:hAnsi="Frutiger 45 Light"/>
          <w:sz w:val="20"/>
          <w:lang w:val="it-IT"/>
        </w:rPr>
      </w:pPr>
      <w:r w:rsidRPr="00AC3CA7">
        <w:rPr>
          <w:rFonts w:ascii="Frutiger 45 Light" w:hAnsi="Frutiger 45 Light"/>
          <w:sz w:val="20"/>
          <w:lang w:val="it-IT"/>
        </w:rPr>
        <w:t xml:space="preserve">Titoli con scadenza tra </w:t>
      </w:r>
      <w:r w:rsidRPr="00AC3CA7">
        <w:rPr>
          <w:rFonts w:ascii="Frutiger 45 Light" w:hAnsi="Frutiger 45 Light"/>
          <w:b/>
          <w:sz w:val="20"/>
          <w:lang w:val="it-IT"/>
        </w:rPr>
        <w:t>1 e 5 anni.</w:t>
      </w:r>
    </w:p>
    <w:p w:rsidR="00A3657D" w:rsidRPr="00A3657D" w:rsidRDefault="00A3657D" w:rsidP="001E21E9">
      <w:pPr>
        <w:pStyle w:val="Paragrafoelenco"/>
        <w:spacing w:line="240" w:lineRule="auto"/>
        <w:rPr>
          <w:rFonts w:ascii="Frutiger 45 Light" w:hAnsi="Frutiger 45 Light"/>
          <w:sz w:val="20"/>
          <w:lang w:val="it-IT"/>
        </w:rPr>
      </w:pPr>
    </w:p>
    <w:p w:rsidR="00A3657D" w:rsidRPr="00A3657D" w:rsidRDefault="00A3657D" w:rsidP="001E21E9">
      <w:pPr>
        <w:pStyle w:val="Paragrafoelenco"/>
        <w:numPr>
          <w:ilvl w:val="0"/>
          <w:numId w:val="1"/>
        </w:numPr>
        <w:spacing w:line="240" w:lineRule="auto"/>
        <w:jc w:val="both"/>
        <w:rPr>
          <w:rFonts w:ascii="Frutiger 45 Light" w:hAnsi="Frutiger 45 Light"/>
          <w:sz w:val="20"/>
          <w:lang w:val="it-IT"/>
        </w:rPr>
      </w:pPr>
      <w:r w:rsidRPr="00A3657D">
        <w:rPr>
          <w:rFonts w:ascii="Frutiger 45 Light" w:hAnsi="Frutiger 45 Light"/>
          <w:sz w:val="20"/>
          <w:lang w:val="it-IT"/>
        </w:rPr>
        <w:t>L'indice include solo titoli che rispettano i</w:t>
      </w:r>
      <w:r>
        <w:rPr>
          <w:rFonts w:ascii="Frutiger 45 Light" w:hAnsi="Frutiger 45 Light"/>
          <w:sz w:val="20"/>
          <w:lang w:val="it-IT"/>
        </w:rPr>
        <w:t xml:space="preserve"> requisiti</w:t>
      </w:r>
      <w:r w:rsidRPr="00A3657D">
        <w:rPr>
          <w:rFonts w:ascii="Frutiger 45 Light" w:hAnsi="Frutiger 45 Light"/>
          <w:sz w:val="20"/>
          <w:lang w:val="it-IT"/>
        </w:rPr>
        <w:t xml:space="preserve"> di </w:t>
      </w:r>
      <w:r w:rsidRPr="00A3657D">
        <w:rPr>
          <w:rFonts w:ascii="Frutiger 45 Light" w:hAnsi="Frutiger 45 Light"/>
          <w:b/>
          <w:sz w:val="20"/>
          <w:lang w:val="it-IT"/>
        </w:rPr>
        <w:t>attività liquide di elevata qualità (HQLA) secondo</w:t>
      </w:r>
      <w:r w:rsidRPr="00A3657D">
        <w:rPr>
          <w:rFonts w:ascii="Frutiger 45 Light" w:hAnsi="Frutiger 45 Light"/>
          <w:sz w:val="20"/>
          <w:lang w:val="it-IT"/>
        </w:rPr>
        <w:t xml:space="preserve"> </w:t>
      </w:r>
      <w:r w:rsidRPr="00A3657D">
        <w:rPr>
          <w:rFonts w:ascii="Frutiger 45 Light" w:hAnsi="Frutiger 45 Light"/>
          <w:b/>
          <w:sz w:val="20"/>
          <w:lang w:val="it-IT"/>
        </w:rPr>
        <w:t>Basi</w:t>
      </w:r>
      <w:r>
        <w:rPr>
          <w:rFonts w:ascii="Frutiger 45 Light" w:hAnsi="Frutiger 45 Light"/>
          <w:b/>
          <w:sz w:val="20"/>
          <w:lang w:val="it-IT"/>
        </w:rPr>
        <w:t>lea III</w:t>
      </w:r>
    </w:p>
    <w:p w:rsidR="00A3657D" w:rsidRPr="00A3657D" w:rsidRDefault="00A3657D" w:rsidP="001E21E9">
      <w:pPr>
        <w:pStyle w:val="Paragrafoelenco"/>
        <w:spacing w:line="240" w:lineRule="auto"/>
        <w:jc w:val="both"/>
        <w:rPr>
          <w:rFonts w:ascii="Frutiger 45 Light" w:hAnsi="Frutiger 45 Light"/>
          <w:sz w:val="20"/>
          <w:lang w:val="it-IT"/>
        </w:rPr>
      </w:pPr>
    </w:p>
    <w:p w:rsidR="00CD362C" w:rsidRPr="00AC3CA7" w:rsidRDefault="00AC3CA7" w:rsidP="001E21E9">
      <w:pPr>
        <w:pStyle w:val="Paragrafoelenco"/>
        <w:numPr>
          <w:ilvl w:val="0"/>
          <w:numId w:val="1"/>
        </w:numPr>
        <w:spacing w:line="240" w:lineRule="auto"/>
        <w:jc w:val="both"/>
        <w:rPr>
          <w:rFonts w:ascii="Frutiger 45 Light" w:hAnsi="Frutiger 45 Light"/>
          <w:sz w:val="20"/>
          <w:lang w:val="it-IT"/>
        </w:rPr>
      </w:pPr>
      <w:r w:rsidRPr="00AC3CA7">
        <w:rPr>
          <w:rFonts w:ascii="Frutiger 45 Light" w:hAnsi="Frutiger 45 Light"/>
          <w:sz w:val="20"/>
          <w:lang w:val="it-IT"/>
        </w:rPr>
        <w:t xml:space="preserve">I titoli devono essere </w:t>
      </w:r>
      <w:proofErr w:type="spellStart"/>
      <w:r w:rsidR="00CD362C" w:rsidRPr="00AC3CA7">
        <w:rPr>
          <w:rFonts w:ascii="Frutiger 45 Light" w:hAnsi="Frutiger 45 Light"/>
          <w:b/>
          <w:sz w:val="20"/>
          <w:lang w:val="it-IT"/>
        </w:rPr>
        <w:t>investment</w:t>
      </w:r>
      <w:proofErr w:type="spellEnd"/>
      <w:r w:rsidR="00CD362C" w:rsidRPr="00AC3CA7">
        <w:rPr>
          <w:rFonts w:ascii="Frutiger 45 Light" w:hAnsi="Frutiger 45 Light"/>
          <w:b/>
          <w:sz w:val="20"/>
          <w:lang w:val="it-IT"/>
        </w:rPr>
        <w:t xml:space="preserve"> </w:t>
      </w:r>
      <w:proofErr w:type="spellStart"/>
      <w:r w:rsidR="00CD362C" w:rsidRPr="00AC3CA7">
        <w:rPr>
          <w:rFonts w:ascii="Frutiger 45 Light" w:hAnsi="Frutiger 45 Light"/>
          <w:b/>
          <w:sz w:val="20"/>
          <w:lang w:val="it-IT"/>
        </w:rPr>
        <w:t>grade</w:t>
      </w:r>
      <w:proofErr w:type="spellEnd"/>
      <w:r w:rsidR="00CD362C" w:rsidRPr="00AC3CA7">
        <w:rPr>
          <w:rFonts w:ascii="Frutiger 45 Light" w:hAnsi="Frutiger 45 Light"/>
          <w:sz w:val="20"/>
          <w:lang w:val="it-IT"/>
        </w:rPr>
        <w:t xml:space="preserve"> </w:t>
      </w:r>
      <w:r w:rsidR="00933668" w:rsidRPr="00AC3CA7">
        <w:rPr>
          <w:rFonts w:ascii="Frutiger 45 Light" w:hAnsi="Frutiger 45 Light"/>
          <w:sz w:val="20"/>
          <w:lang w:val="it-IT"/>
        </w:rPr>
        <w:t xml:space="preserve"> </w:t>
      </w:r>
      <w:r w:rsidRPr="00AC3CA7">
        <w:rPr>
          <w:rFonts w:ascii="Frutiger 45 Light" w:hAnsi="Frutiger 45 Light"/>
          <w:sz w:val="20"/>
          <w:lang w:val="it-IT"/>
        </w:rPr>
        <w:t xml:space="preserve">considerando il rating medio di </w:t>
      </w:r>
      <w:proofErr w:type="spellStart"/>
      <w:r w:rsidRPr="00AC3CA7">
        <w:rPr>
          <w:rFonts w:ascii="Frutiger 45 Light" w:hAnsi="Frutiger 45 Light"/>
          <w:sz w:val="20"/>
          <w:lang w:val="it-IT"/>
        </w:rPr>
        <w:t>Moody's</w:t>
      </w:r>
      <w:proofErr w:type="spellEnd"/>
      <w:r w:rsidRPr="00AC3CA7">
        <w:rPr>
          <w:rFonts w:ascii="Frutiger 45 Light" w:hAnsi="Frutiger 45 Light"/>
          <w:sz w:val="20"/>
          <w:lang w:val="it-IT"/>
        </w:rPr>
        <w:t xml:space="preserve">, </w:t>
      </w:r>
      <w:proofErr w:type="spellStart"/>
      <w:r w:rsidRPr="00AC3CA7">
        <w:rPr>
          <w:rFonts w:ascii="Frutiger 45 Light" w:hAnsi="Frutiger 45 Light"/>
          <w:sz w:val="20"/>
          <w:lang w:val="it-IT"/>
        </w:rPr>
        <w:t>S&amp;P</w:t>
      </w:r>
      <w:proofErr w:type="spellEnd"/>
      <w:r w:rsidRPr="00AC3CA7">
        <w:rPr>
          <w:rFonts w:ascii="Frutiger 45 Light" w:hAnsi="Frutiger 45 Light"/>
          <w:sz w:val="20"/>
          <w:lang w:val="it-IT"/>
        </w:rPr>
        <w:t xml:space="preserve"> e</w:t>
      </w:r>
      <w:r w:rsidR="00933668" w:rsidRPr="00AC3CA7">
        <w:rPr>
          <w:rFonts w:ascii="Frutiger 45 Light" w:hAnsi="Frutiger 45 Light"/>
          <w:sz w:val="20"/>
          <w:lang w:val="it-IT"/>
        </w:rPr>
        <w:t xml:space="preserve"> </w:t>
      </w:r>
      <w:proofErr w:type="spellStart"/>
      <w:r w:rsidR="00933668" w:rsidRPr="00AC3CA7">
        <w:rPr>
          <w:rFonts w:ascii="Frutiger 45 Light" w:hAnsi="Frutiger 45 Light"/>
          <w:sz w:val="20"/>
          <w:lang w:val="it-IT"/>
        </w:rPr>
        <w:t>Fitch</w:t>
      </w:r>
      <w:proofErr w:type="spellEnd"/>
      <w:r w:rsidR="00933668" w:rsidRPr="00AC3CA7">
        <w:rPr>
          <w:rFonts w:ascii="Frutiger 45 Light" w:hAnsi="Frutiger 45 Light"/>
          <w:sz w:val="20"/>
          <w:lang w:val="it-IT"/>
        </w:rPr>
        <w:t xml:space="preserve">. </w:t>
      </w:r>
    </w:p>
    <w:p w:rsidR="00933668" w:rsidRPr="00AC3CA7" w:rsidRDefault="00933668" w:rsidP="001E21E9">
      <w:pPr>
        <w:pStyle w:val="Paragrafoelenco"/>
        <w:spacing w:line="240" w:lineRule="auto"/>
        <w:jc w:val="both"/>
        <w:rPr>
          <w:rFonts w:ascii="Frutiger 45 Light" w:hAnsi="Frutiger 45 Light"/>
          <w:sz w:val="20"/>
          <w:lang w:val="it-IT"/>
        </w:rPr>
      </w:pPr>
    </w:p>
    <w:p w:rsidR="00933668" w:rsidRPr="00DA5EDE" w:rsidRDefault="00AC3CA7" w:rsidP="001E21E9">
      <w:pPr>
        <w:pStyle w:val="Paragrafoelenco"/>
        <w:numPr>
          <w:ilvl w:val="0"/>
          <w:numId w:val="1"/>
        </w:numPr>
        <w:spacing w:line="240" w:lineRule="auto"/>
        <w:jc w:val="both"/>
        <w:rPr>
          <w:rFonts w:ascii="Frutiger 45 Light" w:hAnsi="Frutiger 45 Light"/>
          <w:sz w:val="20"/>
          <w:lang w:val="it-IT"/>
        </w:rPr>
      </w:pPr>
      <w:r w:rsidRPr="00AC3CA7">
        <w:rPr>
          <w:rFonts w:ascii="Frutiger 45 Light" w:hAnsi="Frutiger 45 Light"/>
          <w:sz w:val="20"/>
          <w:lang w:val="it-IT"/>
        </w:rPr>
        <w:t xml:space="preserve">Il </w:t>
      </w:r>
      <w:r w:rsidR="00A30880">
        <w:rPr>
          <w:rFonts w:ascii="Frutiger 45 Light" w:hAnsi="Frutiger 45 Light"/>
          <w:b/>
          <w:sz w:val="20"/>
          <w:lang w:val="it-IT"/>
        </w:rPr>
        <w:t>peso m</w:t>
      </w:r>
      <w:r w:rsidRPr="00177EA7">
        <w:rPr>
          <w:rFonts w:ascii="Frutiger 45 Light" w:hAnsi="Frutiger 45 Light"/>
          <w:b/>
          <w:sz w:val="20"/>
          <w:lang w:val="it-IT"/>
        </w:rPr>
        <w:t>assimo assegnato al singolo emittente è del 5%</w:t>
      </w:r>
      <w:r w:rsidR="00177EA7" w:rsidRPr="00177EA7">
        <w:rPr>
          <w:rFonts w:ascii="Frutiger 45 Light" w:hAnsi="Frutiger 45 Light"/>
          <w:b/>
          <w:sz w:val="20"/>
          <w:lang w:val="it-IT"/>
        </w:rPr>
        <w:t>.</w:t>
      </w:r>
    </w:p>
    <w:p w:rsidR="00DA5EDE" w:rsidRPr="00DA5EDE" w:rsidRDefault="00DA5EDE" w:rsidP="00DA5EDE">
      <w:pPr>
        <w:jc w:val="both"/>
        <w:rPr>
          <w:rFonts w:ascii="Frutiger 45 Light" w:hAnsi="Frutiger 45 Light"/>
          <w:sz w:val="20"/>
          <w:lang w:val="it-IT"/>
        </w:rPr>
      </w:pPr>
    </w:p>
    <w:p w:rsidR="00DA5EDE" w:rsidRPr="001B2E40" w:rsidRDefault="009A154A" w:rsidP="001B2E40">
      <w:pPr>
        <w:pStyle w:val="Paragrafoelenco"/>
        <w:jc w:val="both"/>
        <w:rPr>
          <w:rFonts w:ascii="Frutiger 45 Light" w:hAnsi="Frutiger 45 Light"/>
          <w:sz w:val="20"/>
        </w:rPr>
      </w:pPr>
      <w:r>
        <w:rPr>
          <w:rFonts w:ascii="Frutiger 45 Light" w:hAnsi="Frutiger 45 Light"/>
          <w:noProof/>
          <w:sz w:val="20"/>
          <w:lang w:val="it-IT" w:eastAsia="it-IT"/>
        </w:rPr>
        <w:pict>
          <v:shape id="_x0000_s1027" type="#_x0000_t202" style="position:absolute;left:0;text-align:left;margin-left:303.45pt;margin-top:191.5pt;width:186.95pt;height:23.75pt;z-index:25167052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" strokecolor="white [3212]">
            <v:textbox>
              <w:txbxContent>
                <w:p w:rsidR="00C1000F" w:rsidRPr="00ED7926" w:rsidRDefault="00C1000F" w:rsidP="001E21E9">
                  <w:pPr>
                    <w:rPr>
                      <w:rFonts w:ascii="Frutiger 45 Light" w:hAnsi="Frutiger 45 Light"/>
                      <w:sz w:val="12"/>
                    </w:rPr>
                  </w:pPr>
                  <w:r>
                    <w:rPr>
                      <w:rFonts w:ascii="Frutiger 45 Light" w:hAnsi="Frutiger 45 Light"/>
                      <w:sz w:val="12"/>
                    </w:rPr>
                    <w:t>Fonte</w:t>
                  </w:r>
                  <w:r w:rsidRPr="00ED7926">
                    <w:rPr>
                      <w:rFonts w:ascii="Frutiger 45 Light" w:hAnsi="Frutiger 45 Light"/>
                      <w:sz w:val="12"/>
                    </w:rPr>
                    <w:t>: Bloomberg Barclays Indices</w:t>
                  </w:r>
                </w:p>
              </w:txbxContent>
            </v:textbox>
          </v:shape>
        </w:pict>
      </w:r>
      <w:r>
        <w:rPr>
          <w:rFonts w:ascii="Frutiger 45 Light" w:hAnsi="Frutiger 45 Light"/>
          <w:noProof/>
          <w:sz w:val="20"/>
          <w:lang w:val="it-IT" w:eastAsia="it-IT"/>
        </w:rPr>
        <w:pict>
          <v:shape id="_x0000_s1028" type="#_x0000_t202" style="position:absolute;left:0;text-align:left;margin-left:54.2pt;margin-top:190.1pt;width:186.95pt;height:23.75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" strokecolor="white [3212]">
            <v:textbox>
              <w:txbxContent>
                <w:p w:rsidR="00C1000F" w:rsidRPr="00ED7926" w:rsidRDefault="00C1000F" w:rsidP="001E21E9">
                  <w:pPr>
                    <w:rPr>
                      <w:rFonts w:ascii="Frutiger 45 Light" w:hAnsi="Frutiger 45 Light"/>
                      <w:sz w:val="12"/>
                    </w:rPr>
                  </w:pPr>
                  <w:r>
                    <w:rPr>
                      <w:rFonts w:ascii="Frutiger 45 Light" w:hAnsi="Frutiger 45 Light"/>
                      <w:sz w:val="12"/>
                    </w:rPr>
                    <w:t>Fonte</w:t>
                  </w:r>
                  <w:r w:rsidRPr="00ED7926">
                    <w:rPr>
                      <w:rFonts w:ascii="Frutiger 45 Light" w:hAnsi="Frutiger 45 Light"/>
                      <w:sz w:val="12"/>
                    </w:rPr>
                    <w:t>: Bloomberg Barclays Indices</w:t>
                  </w:r>
                </w:p>
              </w:txbxContent>
            </v:textbox>
          </v:shape>
        </w:pict>
      </w:r>
      <w:r w:rsidR="004C0FE4" w:rsidRPr="00F557A5">
        <w:rPr>
          <w:rFonts w:ascii="Frutiger 45 Light" w:hAnsi="Frutiger 45 Light"/>
          <w:noProof/>
          <w:lang w:val="it-IT" w:eastAsia="it-IT"/>
        </w:rPr>
        <w:drawing>
          <wp:inline distT="0" distB="0" distL="0" distR="0">
            <wp:extent cx="3021496" cy="2449001"/>
            <wp:effectExtent l="0" t="0" r="2667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C0FE4" w:rsidRPr="00785070">
        <w:rPr>
          <w:rFonts w:ascii="Frutiger 45 Light" w:hAnsi="Frutiger 45 Light"/>
          <w:noProof/>
          <w:lang w:val="it-IT" w:eastAsia="it-IT"/>
        </w:rPr>
        <w:drawing>
          <wp:inline distT="0" distB="0" distL="0" distR="0">
            <wp:extent cx="3244132" cy="2401294"/>
            <wp:effectExtent l="0" t="0" r="13970"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21E9" w:rsidRDefault="001E21E9" w:rsidP="00055B9D">
      <w:pPr>
        <w:jc w:val="center"/>
        <w:rPr>
          <w:rFonts w:ascii="Frutiger 45 Light" w:hAnsi="Frutiger 45 Light"/>
          <w:sz w:val="36"/>
          <w:szCs w:val="72"/>
        </w:rPr>
      </w:pPr>
    </w:p>
    <w:p w:rsidR="00055B9D" w:rsidRDefault="009A154A" w:rsidP="001178F8">
      <w:pPr>
        <w:jc w:val="center"/>
        <w:rPr>
          <w:rFonts w:ascii="Frutiger 45 Light" w:hAnsi="Frutiger 45 Light"/>
          <w:sz w:val="36"/>
          <w:szCs w:val="72"/>
        </w:rPr>
      </w:pPr>
      <w:r w:rsidRPr="009A154A">
        <w:rPr>
          <w:noProof/>
          <w:lang w:val="it-IT" w:eastAsia="it-IT"/>
        </w:rPr>
        <w:pict>
          <v:shape id="_x0000_s1029" type="#_x0000_t202" style="position:absolute;left:0;text-align:left;margin-left:409.4pt;margin-top:-12.8pt;width:147.1pt;height:46.3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" fillcolor="white [3212]" strokecolor="white [3212]">
            <v:textbox>
              <w:txbxContent>
                <w:p w:rsidR="00C1000F" w:rsidRPr="001178F8" w:rsidRDefault="00C1000F" w:rsidP="001178F8">
                  <w:pPr>
                    <w:spacing w:after="0"/>
                    <w:rPr>
                      <w:sz w:val="20"/>
                      <w:lang w:val="it-IT"/>
                    </w:rPr>
                  </w:pPr>
                  <w:r w:rsidRPr="001178F8">
                    <w:rPr>
                      <w:sz w:val="20"/>
                      <w:lang w:val="it-IT"/>
                    </w:rPr>
                    <w:t>Solo per investitori professionali</w:t>
                  </w:r>
                </w:p>
                <w:p w:rsidR="00C1000F" w:rsidRPr="001178F8" w:rsidRDefault="00C1000F" w:rsidP="001178F8">
                  <w:pPr>
                    <w:spacing w:after="0"/>
                    <w:rPr>
                      <w:sz w:val="20"/>
                      <w:lang w:val="it-IT"/>
                    </w:rPr>
                  </w:pPr>
                </w:p>
              </w:txbxContent>
            </v:textbox>
          </v:shape>
        </w:pict>
      </w:r>
      <w:proofErr w:type="spellStart"/>
      <w:r w:rsidR="00A30880">
        <w:rPr>
          <w:rFonts w:ascii="Frutiger 45 Light" w:hAnsi="Frutiger 45 Light"/>
          <w:sz w:val="36"/>
          <w:szCs w:val="72"/>
        </w:rPr>
        <w:t>Basilea</w:t>
      </w:r>
      <w:proofErr w:type="spellEnd"/>
      <w:r w:rsidR="000B1A4C">
        <w:rPr>
          <w:rFonts w:ascii="Frutiger 45 Light" w:hAnsi="Frutiger 45 Light"/>
          <w:sz w:val="36"/>
          <w:szCs w:val="72"/>
        </w:rPr>
        <w:t xml:space="preserve"> III</w:t>
      </w:r>
    </w:p>
    <w:p w:rsidR="00E8222D" w:rsidRPr="005A0BAE" w:rsidRDefault="00A30880" w:rsidP="001E21E9">
      <w:pPr>
        <w:pStyle w:val="Paragrafoelenco"/>
        <w:numPr>
          <w:ilvl w:val="0"/>
          <w:numId w:val="3"/>
        </w:numPr>
        <w:kinsoku w:val="0"/>
        <w:overflowPunct w:val="0"/>
        <w:spacing w:after="0" w:line="240" w:lineRule="auto"/>
        <w:jc w:val="both"/>
        <w:textAlignment w:val="baseline"/>
        <w:rPr>
          <w:sz w:val="20"/>
          <w:lang w:val="it-IT"/>
        </w:rPr>
      </w:pPr>
      <w:r w:rsidRPr="00A30880">
        <w:rPr>
          <w:rFonts w:ascii="Frutiger 45 Light" w:eastAsiaTheme="minorEastAsia" w:hAnsi="Frutiger 45 Light"/>
          <w:bCs/>
          <w:color w:val="000000" w:themeColor="text1"/>
          <w:kern w:val="24"/>
          <w:sz w:val="20"/>
          <w:lang w:val="it-IT"/>
        </w:rPr>
        <w:t>A</w:t>
      </w:r>
      <w:r w:rsidRPr="00A30880">
        <w:rPr>
          <w:rFonts w:ascii="Frutiger 45 Light" w:eastAsiaTheme="minorEastAsia" w:hAnsi="Frutiger 45 Light"/>
          <w:b/>
          <w:bCs/>
          <w:color w:val="000000" w:themeColor="text1"/>
          <w:kern w:val="24"/>
          <w:sz w:val="20"/>
          <w:lang w:val="it-IT"/>
        </w:rPr>
        <w:t xml:space="preserve"> banche e assicurazioni </w:t>
      </w:r>
      <w:r w:rsidRPr="00A30880">
        <w:rPr>
          <w:rFonts w:ascii="Frutiger 45 Light" w:eastAsiaTheme="minorEastAsia" w:hAnsi="Frutiger 45 Light"/>
          <w:bCs/>
          <w:color w:val="000000" w:themeColor="text1"/>
          <w:kern w:val="24"/>
          <w:sz w:val="20"/>
          <w:lang w:val="it-IT"/>
        </w:rPr>
        <w:t xml:space="preserve">è richiesto </w:t>
      </w:r>
      <w:r w:rsidR="00376BA3">
        <w:rPr>
          <w:rFonts w:ascii="Frutiger 45 Light" w:eastAsiaTheme="minorEastAsia" w:hAnsi="Frutiger 45 Light"/>
          <w:bCs/>
          <w:color w:val="000000" w:themeColor="text1"/>
          <w:kern w:val="24"/>
          <w:sz w:val="20"/>
          <w:lang w:val="it-IT"/>
        </w:rPr>
        <w:t xml:space="preserve">di detenere un ammontare adeguato di attività liquide di elevata qualità (HQLA) per soddisfare il fabbisogno di liquidità nel breve termine </w:t>
      </w:r>
    </w:p>
    <w:p w:rsidR="005A0BAE" w:rsidRPr="00A30880" w:rsidRDefault="005A0BAE" w:rsidP="001E21E9">
      <w:pPr>
        <w:pStyle w:val="Paragrafoelenco"/>
        <w:kinsoku w:val="0"/>
        <w:overflowPunct w:val="0"/>
        <w:spacing w:after="0" w:line="240" w:lineRule="auto"/>
        <w:jc w:val="both"/>
        <w:textAlignment w:val="baseline"/>
        <w:rPr>
          <w:sz w:val="20"/>
          <w:lang w:val="it-IT"/>
        </w:rPr>
      </w:pPr>
    </w:p>
    <w:p w:rsidR="000B1A4C" w:rsidRPr="000B1A4C" w:rsidRDefault="00A30880" w:rsidP="001E21E9">
      <w:pPr>
        <w:pStyle w:val="Paragrafoelenco"/>
        <w:numPr>
          <w:ilvl w:val="0"/>
          <w:numId w:val="3"/>
        </w:numPr>
        <w:kinsoku w:val="0"/>
        <w:overflowPunct w:val="0"/>
        <w:spacing w:after="0" w:line="240" w:lineRule="auto"/>
        <w:jc w:val="both"/>
        <w:textAlignment w:val="baseline"/>
        <w:rPr>
          <w:sz w:val="20"/>
          <w:lang w:val="it-IT"/>
        </w:rPr>
      </w:pPr>
      <w:r w:rsidRPr="00A30880">
        <w:rPr>
          <w:rFonts w:ascii="Frutiger 45 Light" w:eastAsiaTheme="minorEastAsia" w:hAnsi="Frutiger 45 Light"/>
          <w:color w:val="000000" w:themeColor="text1"/>
          <w:kern w:val="24"/>
          <w:sz w:val="20"/>
          <w:lang w:val="it-IT"/>
        </w:rPr>
        <w:t>Lo standard</w:t>
      </w:r>
      <w:r w:rsidR="00E8222D" w:rsidRPr="00A30880">
        <w:rPr>
          <w:rFonts w:ascii="Frutiger 45 Light" w:eastAsiaTheme="minorEastAsia" w:hAnsi="Frutiger 45 Light"/>
          <w:color w:val="000000" w:themeColor="text1"/>
          <w:kern w:val="24"/>
          <w:sz w:val="20"/>
          <w:lang w:val="it-IT"/>
        </w:rPr>
        <w:t xml:space="preserve"> HQLA </w:t>
      </w:r>
      <w:r w:rsidRPr="00A30880">
        <w:rPr>
          <w:rFonts w:ascii="Frutiger 45 Light" w:eastAsiaTheme="minorEastAsia" w:hAnsi="Frutiger 45 Light"/>
          <w:color w:val="000000" w:themeColor="text1"/>
          <w:kern w:val="24"/>
          <w:sz w:val="20"/>
          <w:lang w:val="it-IT"/>
        </w:rPr>
        <w:t xml:space="preserve">ha lo scopo di assicurare che le istituzioni finanziarie abbiano </w:t>
      </w:r>
      <w:r w:rsidR="000B1A4C">
        <w:rPr>
          <w:rFonts w:ascii="Frutiger 45 Light" w:eastAsiaTheme="minorEastAsia" w:hAnsi="Frutiger 45 Light"/>
          <w:color w:val="000000" w:themeColor="text1"/>
          <w:kern w:val="24"/>
          <w:sz w:val="20"/>
          <w:lang w:val="it-IT"/>
        </w:rPr>
        <w:t xml:space="preserve">un livello adeguato di </w:t>
      </w:r>
      <w:r w:rsidRPr="000B1A4C">
        <w:rPr>
          <w:rFonts w:ascii="Frutiger 45 Light" w:eastAsiaTheme="minorEastAsia" w:hAnsi="Frutiger 45 Light"/>
          <w:b/>
          <w:color w:val="000000" w:themeColor="text1"/>
          <w:kern w:val="24"/>
          <w:sz w:val="20"/>
          <w:lang w:val="it-IT"/>
        </w:rPr>
        <w:t>HQLA</w:t>
      </w:r>
      <w:r w:rsidR="000B1A4C" w:rsidRPr="000B1A4C">
        <w:rPr>
          <w:rFonts w:ascii="Frutiger 45 Light" w:eastAsiaTheme="minorEastAsia" w:hAnsi="Frutiger 45 Light"/>
          <w:b/>
          <w:color w:val="000000" w:themeColor="text1"/>
          <w:kern w:val="24"/>
          <w:sz w:val="20"/>
          <w:lang w:val="it-IT"/>
        </w:rPr>
        <w:t xml:space="preserve"> non vincola</w:t>
      </w:r>
      <w:r w:rsidR="00DA5EDE">
        <w:rPr>
          <w:rFonts w:ascii="Frutiger 45 Light" w:eastAsiaTheme="minorEastAsia" w:hAnsi="Frutiger 45 Light"/>
          <w:b/>
          <w:color w:val="000000" w:themeColor="text1"/>
          <w:kern w:val="24"/>
          <w:sz w:val="20"/>
          <w:lang w:val="it-IT"/>
        </w:rPr>
        <w:t>n</w:t>
      </w:r>
      <w:r w:rsidR="000B1A4C" w:rsidRPr="000B1A4C">
        <w:rPr>
          <w:rFonts w:ascii="Frutiger 45 Light" w:eastAsiaTheme="minorEastAsia" w:hAnsi="Frutiger 45 Light"/>
          <w:b/>
          <w:color w:val="000000" w:themeColor="text1"/>
          <w:kern w:val="24"/>
          <w:sz w:val="20"/>
          <w:lang w:val="it-IT"/>
        </w:rPr>
        <w:t>te che possono essere facilmente e immediatamente convertite in contanti nei mercati privati</w:t>
      </w:r>
      <w:r w:rsidR="000B1A4C">
        <w:rPr>
          <w:rFonts w:ascii="Frutiger 45 Light" w:eastAsiaTheme="minorEastAsia" w:hAnsi="Frutiger 45 Light"/>
          <w:color w:val="000000" w:themeColor="text1"/>
          <w:kern w:val="24"/>
          <w:sz w:val="20"/>
          <w:lang w:val="it-IT"/>
        </w:rPr>
        <w:t xml:space="preserve"> per soddisfare il fabbisogno di liquidità delle banche stesse nell'arco di 30 giorni di calendario in uno scenario di stress di liquidità.</w:t>
      </w:r>
    </w:p>
    <w:p w:rsidR="001642A4" w:rsidRPr="000B1A4C" w:rsidRDefault="000B1A4C" w:rsidP="00C1000F">
      <w:pPr>
        <w:kinsoku w:val="0"/>
        <w:overflowPunct w:val="0"/>
        <w:spacing w:after="0" w:line="240" w:lineRule="auto"/>
        <w:jc w:val="both"/>
        <w:textAlignment w:val="baseline"/>
        <w:rPr>
          <w:rFonts w:ascii="Frutiger 45 Light" w:eastAsiaTheme="minorEastAsia" w:hAnsi="Frutiger 45 Light"/>
          <w:color w:val="000000" w:themeColor="text1"/>
          <w:kern w:val="24"/>
          <w:lang w:val="it-IT"/>
        </w:rPr>
      </w:pPr>
      <w:r w:rsidRPr="000B1A4C">
        <w:rPr>
          <w:sz w:val="20"/>
          <w:lang w:val="it-IT"/>
        </w:rPr>
        <w:t xml:space="preserve"> </w:t>
      </w:r>
    </w:p>
    <w:p w:rsidR="001642A4" w:rsidRPr="000B1A4C" w:rsidRDefault="001642A4" w:rsidP="001E21E9">
      <w:pPr>
        <w:kinsoku w:val="0"/>
        <w:overflowPunct w:val="0"/>
        <w:spacing w:after="0" w:line="240" w:lineRule="auto"/>
        <w:textAlignment w:val="baseline"/>
        <w:rPr>
          <w:rFonts w:ascii="Frutiger 45 Light" w:eastAsiaTheme="minorEastAsia" w:hAnsi="Frutiger 45 Light"/>
          <w:color w:val="000000" w:themeColor="text1"/>
          <w:kern w:val="24"/>
          <w:lang w:val="it-IT"/>
        </w:rPr>
      </w:pPr>
    </w:p>
    <w:p w:rsidR="00F557A5" w:rsidRPr="001E21E9" w:rsidRDefault="00E2553F" w:rsidP="001E21E9">
      <w:pPr>
        <w:spacing w:after="120" w:line="240" w:lineRule="auto"/>
        <w:jc w:val="center"/>
        <w:rPr>
          <w:rFonts w:ascii="Frutiger 45 Light" w:hAnsi="Frutiger 45 Light"/>
          <w:sz w:val="36"/>
          <w:szCs w:val="72"/>
          <w:lang w:val="it-IT"/>
        </w:rPr>
      </w:pPr>
      <w:r w:rsidRPr="001E21E9">
        <w:rPr>
          <w:rFonts w:ascii="Frutiger 45 Light" w:hAnsi="Frutiger 45 Light"/>
          <w:sz w:val="36"/>
          <w:szCs w:val="72"/>
          <w:lang w:val="it-IT"/>
        </w:rPr>
        <w:t>Confronto con fondi attivi simili</w:t>
      </w:r>
    </w:p>
    <w:p w:rsidR="00E2553F" w:rsidRDefault="00C1000F" w:rsidP="00C1000F">
      <w:pPr>
        <w:pStyle w:val="Paragrafoelenco"/>
        <w:numPr>
          <w:ilvl w:val="0"/>
          <w:numId w:val="7"/>
        </w:numPr>
        <w:spacing w:line="240" w:lineRule="auto"/>
        <w:jc w:val="both"/>
        <w:rPr>
          <w:rFonts w:ascii="Frutiger 45 Light" w:hAnsi="Frutiger 45 Light"/>
          <w:sz w:val="20"/>
          <w:lang w:val="it-IT"/>
        </w:rPr>
      </w:pPr>
      <w:r>
        <w:rPr>
          <w:rFonts w:ascii="Frutiger 45 Light" w:hAnsi="Frutiger 45 Light"/>
          <w:sz w:val="20"/>
          <w:lang w:val="it-IT"/>
        </w:rPr>
        <w:t xml:space="preserve">L'indice </w:t>
      </w:r>
      <w:r w:rsidRPr="00C1000F">
        <w:rPr>
          <w:rFonts w:ascii="Frutiger 45 Light" w:hAnsi="Frutiger 45 Light"/>
          <w:sz w:val="20"/>
          <w:lang w:val="it-IT"/>
        </w:rPr>
        <w:t xml:space="preserve">Bloomberg Barclays </w:t>
      </w:r>
      <w:r>
        <w:rPr>
          <w:rFonts w:ascii="Frutiger 45 Light" w:hAnsi="Frutiger 45 Light"/>
          <w:sz w:val="20"/>
          <w:lang w:val="it-IT"/>
        </w:rPr>
        <w:t xml:space="preserve">HQLA 1-5y </w:t>
      </w:r>
      <w:r w:rsidR="00E2553F" w:rsidRPr="00E2553F">
        <w:rPr>
          <w:rFonts w:ascii="Frutiger 45 Light" w:hAnsi="Frutiger 45 Light"/>
          <w:sz w:val="20"/>
          <w:lang w:val="it-IT"/>
        </w:rPr>
        <w:t xml:space="preserve">ha </w:t>
      </w:r>
      <w:r w:rsidR="00E2553F" w:rsidRPr="00E2553F">
        <w:rPr>
          <w:rFonts w:ascii="Frutiger 45 Light" w:hAnsi="Frutiger 45 Light"/>
          <w:b/>
          <w:sz w:val="20"/>
          <w:lang w:val="it-IT"/>
        </w:rPr>
        <w:t>performance migliori</w:t>
      </w:r>
      <w:r w:rsidR="00E2553F" w:rsidRPr="00E2553F">
        <w:rPr>
          <w:rFonts w:ascii="Frutiger 45 Light" w:hAnsi="Frutiger 45 Light"/>
          <w:sz w:val="20"/>
          <w:lang w:val="it-IT"/>
        </w:rPr>
        <w:t xml:space="preserve"> e </w:t>
      </w:r>
      <w:r w:rsidR="00E2553F" w:rsidRPr="00E2553F">
        <w:rPr>
          <w:rFonts w:ascii="Frutiger 45 Light" w:hAnsi="Frutiger 45 Light"/>
          <w:b/>
          <w:sz w:val="20"/>
          <w:lang w:val="it-IT"/>
        </w:rPr>
        <w:t>volatilità minore</w:t>
      </w:r>
      <w:r w:rsidR="00E2553F" w:rsidRPr="00E2553F">
        <w:rPr>
          <w:rFonts w:ascii="Frutiger 45 Light" w:hAnsi="Frutiger 45 Light"/>
          <w:sz w:val="20"/>
          <w:lang w:val="it-IT"/>
        </w:rPr>
        <w:t xml:space="preserve"> su un orizzonte temporale di 5 anni  </w:t>
      </w:r>
    </w:p>
    <w:p w:rsidR="001B2E40" w:rsidRPr="00E2553F" w:rsidRDefault="001B2E40" w:rsidP="001E21E9">
      <w:pPr>
        <w:pStyle w:val="Paragrafoelenco"/>
        <w:spacing w:line="240" w:lineRule="auto"/>
        <w:jc w:val="both"/>
        <w:rPr>
          <w:rFonts w:ascii="Frutiger 45 Light" w:hAnsi="Frutiger 45 Light"/>
          <w:sz w:val="20"/>
          <w:lang w:val="it-IT"/>
        </w:rPr>
      </w:pPr>
    </w:p>
    <w:p w:rsidR="00E2553F" w:rsidRDefault="00C1000F" w:rsidP="001E21E9">
      <w:pPr>
        <w:pStyle w:val="Paragrafoelenco"/>
        <w:numPr>
          <w:ilvl w:val="0"/>
          <w:numId w:val="7"/>
        </w:numPr>
        <w:spacing w:line="240" w:lineRule="auto"/>
        <w:jc w:val="both"/>
        <w:rPr>
          <w:rFonts w:ascii="Frutiger 45 Light" w:hAnsi="Frutiger 45 Light"/>
          <w:sz w:val="20"/>
          <w:lang w:val="it-IT"/>
        </w:rPr>
      </w:pPr>
      <w:r>
        <w:rPr>
          <w:rFonts w:ascii="Frutiger 45 Light" w:hAnsi="Frutiger 45 Light"/>
          <w:sz w:val="20"/>
          <w:lang w:val="it-IT"/>
        </w:rPr>
        <w:t xml:space="preserve">L'indice </w:t>
      </w:r>
      <w:r w:rsidRPr="00C1000F">
        <w:rPr>
          <w:rFonts w:ascii="Frutiger 45 Light" w:hAnsi="Frutiger 45 Light"/>
          <w:sz w:val="20"/>
          <w:lang w:val="it-IT"/>
        </w:rPr>
        <w:t xml:space="preserve">Bloomberg Barclays </w:t>
      </w:r>
      <w:r>
        <w:rPr>
          <w:rFonts w:ascii="Frutiger 45 Light" w:hAnsi="Frutiger 45 Light"/>
          <w:sz w:val="20"/>
          <w:lang w:val="it-IT"/>
        </w:rPr>
        <w:t xml:space="preserve">HQLA 1-5y  </w:t>
      </w:r>
      <w:r w:rsidR="00E2553F" w:rsidRPr="00E2553F">
        <w:rPr>
          <w:rFonts w:ascii="Frutiger 45 Light" w:hAnsi="Frutiger 45 Light"/>
          <w:sz w:val="20"/>
          <w:lang w:val="it-IT"/>
        </w:rPr>
        <w:t xml:space="preserve">è l'unico </w:t>
      </w:r>
      <w:r>
        <w:rPr>
          <w:rFonts w:ascii="Frutiger 45 Light" w:hAnsi="Frutiger 45 Light"/>
          <w:sz w:val="20"/>
          <w:lang w:val="it-IT"/>
        </w:rPr>
        <w:t>indice</w:t>
      </w:r>
      <w:r w:rsidR="00E2553F" w:rsidRPr="00E2553F">
        <w:rPr>
          <w:rFonts w:ascii="Frutiger 45 Light" w:hAnsi="Frutiger 45 Light"/>
          <w:sz w:val="20"/>
          <w:lang w:val="it-IT"/>
        </w:rPr>
        <w:t xml:space="preserve"> che </w:t>
      </w:r>
      <w:r w:rsidR="00E2553F" w:rsidRPr="00E2553F">
        <w:rPr>
          <w:rFonts w:ascii="Frutiger 45 Light" w:hAnsi="Frutiger 45 Light"/>
          <w:b/>
          <w:sz w:val="20"/>
          <w:lang w:val="it-IT"/>
        </w:rPr>
        <w:t>non ha un'esposizione al settore</w:t>
      </w:r>
      <w:r w:rsidR="00E2553F" w:rsidRPr="00E2553F">
        <w:rPr>
          <w:rFonts w:ascii="Frutiger 45 Light" w:hAnsi="Frutiger 45 Light"/>
          <w:sz w:val="20"/>
          <w:lang w:val="it-IT"/>
        </w:rPr>
        <w:t xml:space="preserve"> </w:t>
      </w:r>
      <w:r w:rsidR="00E2553F" w:rsidRPr="00E2553F">
        <w:rPr>
          <w:rFonts w:ascii="Frutiger 45 Light" w:hAnsi="Frutiger 45 Light"/>
          <w:b/>
          <w:sz w:val="20"/>
          <w:lang w:val="it-IT"/>
        </w:rPr>
        <w:t>finanziario</w:t>
      </w:r>
    </w:p>
    <w:p w:rsidR="001E21E9" w:rsidRDefault="009A154A" w:rsidP="001E21E9">
      <w:pPr>
        <w:spacing w:after="80" w:line="240" w:lineRule="auto"/>
        <w:jc w:val="center"/>
        <w:rPr>
          <w:noProof/>
          <w:lang w:val="it-IT" w:eastAsia="it-IT"/>
        </w:rPr>
      </w:pPr>
      <w:r w:rsidRPr="009A154A">
        <w:rPr>
          <w:rFonts w:ascii="Frutiger 45 Light" w:hAnsi="Frutiger 45 Light"/>
          <w:noProof/>
          <w:sz w:val="12"/>
          <w:lang w:val="it-IT" w:eastAsia="it-IT"/>
        </w:rPr>
        <w:pict>
          <v:shape id="_x0000_s1030" type="#_x0000_t202" style="position:absolute;left:0;text-align:left;margin-left:144.85pt;margin-top:251.65pt;width:294.25pt;height:15.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" strokecolor="white [3212]">
            <v:textbox>
              <w:txbxContent>
                <w:p w:rsidR="00C1000F" w:rsidRPr="001E21E9" w:rsidRDefault="00C1000F" w:rsidP="001E21E9">
                  <w:pPr>
                    <w:spacing w:line="240" w:lineRule="auto"/>
                    <w:jc w:val="center"/>
                    <w:rPr>
                      <w:rFonts w:ascii="Frutiger 45 Light" w:hAnsi="Frutiger 45 Light"/>
                      <w:sz w:val="20"/>
                      <w:lang w:val="it-IT"/>
                    </w:rPr>
                  </w:pPr>
                  <w:r w:rsidRPr="001E21E9">
                    <w:rPr>
                      <w:rFonts w:ascii="Frutiger 45 Light" w:hAnsi="Frutiger 45 Light"/>
                      <w:sz w:val="12"/>
                      <w:lang w:val="it-IT"/>
                    </w:rPr>
                    <w:t>Fonte: Bloomberg, UBS AM, dati al 31 Giugno 2018, statistiche dal</w:t>
                  </w:r>
                  <w:r>
                    <w:rPr>
                      <w:rFonts w:ascii="Frutiger 45 Light" w:hAnsi="Frutiger 45 Light"/>
                      <w:sz w:val="12"/>
                      <w:lang w:val="it-IT"/>
                    </w:rPr>
                    <w:t xml:space="preserve"> 28 Giugno</w:t>
                  </w:r>
                  <w:r w:rsidRPr="001E21E9">
                    <w:rPr>
                      <w:rFonts w:ascii="Frutiger 45 Light" w:hAnsi="Frutiger 45 Light"/>
                      <w:sz w:val="12"/>
                      <w:lang w:val="it-IT"/>
                    </w:rPr>
                    <w:t xml:space="preserve"> 2013 </w:t>
                  </w:r>
                  <w:r>
                    <w:rPr>
                      <w:rFonts w:ascii="Frutiger 45 Light" w:hAnsi="Frutiger 45 Light"/>
                      <w:sz w:val="12"/>
                      <w:lang w:val="it-IT"/>
                    </w:rPr>
                    <w:t>al 31 Maggio</w:t>
                  </w:r>
                  <w:r w:rsidRPr="001E21E9">
                    <w:rPr>
                      <w:rFonts w:ascii="Frutiger 45 Light" w:hAnsi="Frutiger 45 Light"/>
                      <w:sz w:val="12"/>
                      <w:lang w:val="it-IT"/>
                    </w:rPr>
                    <w:t xml:space="preserve"> 2018</w:t>
                  </w:r>
                </w:p>
                <w:p w:rsidR="00C1000F" w:rsidRPr="001E21E9" w:rsidRDefault="00C1000F" w:rsidP="001E21E9">
                  <w:pPr>
                    <w:rPr>
                      <w:lang w:val="it-IT"/>
                    </w:rPr>
                  </w:pPr>
                </w:p>
              </w:txbxContent>
            </v:textbox>
          </v:shape>
        </w:pict>
      </w:r>
      <w:r w:rsidR="00473698" w:rsidRPr="00473698">
        <w:rPr>
          <w:noProof/>
          <w:lang w:val="it-IT" w:eastAsia="it-IT"/>
        </w:rPr>
        <w:drawing>
          <wp:inline distT="0" distB="0" distL="0" distR="0">
            <wp:extent cx="6332220" cy="14230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6332220" cy="1423035"/>
                    </a:xfrm>
                    <a:prstGeom prst="rect">
                      <a:avLst/>
                    </a:prstGeom>
                  </pic:spPr>
                </pic:pic>
              </a:graphicData>
            </a:graphic>
          </wp:inline>
        </w:drawing>
      </w:r>
    </w:p>
    <w:p w:rsidR="00473698" w:rsidRDefault="00473698" w:rsidP="001E21E9">
      <w:pPr>
        <w:spacing w:after="80" w:line="240" w:lineRule="auto"/>
        <w:jc w:val="center"/>
        <w:rPr>
          <w:noProof/>
          <w:lang w:val="it-IT" w:eastAsia="it-IT"/>
        </w:rPr>
      </w:pPr>
    </w:p>
    <w:p w:rsidR="00C1000F" w:rsidRDefault="00C1000F" w:rsidP="001E21E9">
      <w:pPr>
        <w:spacing w:after="80" w:line="240" w:lineRule="auto"/>
        <w:jc w:val="center"/>
        <w:rPr>
          <w:rFonts w:ascii="Frutiger 45 Light" w:hAnsi="Frutiger 45 Light"/>
          <w:b/>
          <w:bCs/>
          <w:sz w:val="12"/>
          <w:szCs w:val="12"/>
          <w:lang w:val="it-IT"/>
        </w:rPr>
      </w:pPr>
      <w:r w:rsidRPr="00C1000F">
        <w:rPr>
          <w:noProof/>
          <w:lang w:val="it-IT" w:eastAsia="it-IT"/>
        </w:rPr>
        <w:drawing>
          <wp:inline distT="0" distB="0" distL="0" distR="0">
            <wp:extent cx="6332220" cy="23253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6332220" cy="2325370"/>
                    </a:xfrm>
                    <a:prstGeom prst="rect">
                      <a:avLst/>
                    </a:prstGeom>
                  </pic:spPr>
                </pic:pic>
              </a:graphicData>
            </a:graphic>
          </wp:inline>
        </w:drawing>
      </w:r>
    </w:p>
    <w:p w:rsidR="001E21E9" w:rsidRDefault="001E21E9" w:rsidP="001E21E9">
      <w:pPr>
        <w:spacing w:after="80" w:line="240" w:lineRule="auto"/>
        <w:rPr>
          <w:rFonts w:ascii="Frutiger 45 Light" w:hAnsi="Frutiger 45 Light"/>
          <w:b/>
          <w:bCs/>
          <w:sz w:val="12"/>
          <w:szCs w:val="12"/>
          <w:lang w:val="it-IT"/>
        </w:rPr>
      </w:pPr>
    </w:p>
    <w:p w:rsidR="001E21E9" w:rsidRPr="001E21E9" w:rsidRDefault="001E21E9" w:rsidP="001E21E9">
      <w:pPr>
        <w:spacing w:after="80" w:line="240" w:lineRule="auto"/>
        <w:rPr>
          <w:rFonts w:ascii="Frutiger 45 Light" w:hAnsi="Frutiger 45 Light"/>
          <w:sz w:val="12"/>
          <w:szCs w:val="12"/>
          <w:lang w:val="it-IT"/>
        </w:rPr>
      </w:pPr>
      <w:r w:rsidRPr="001E21E9">
        <w:rPr>
          <w:rFonts w:ascii="Frutiger 45 Light" w:hAnsi="Frutiger 45 Light"/>
          <w:b/>
          <w:bCs/>
          <w:sz w:val="12"/>
          <w:szCs w:val="12"/>
          <w:lang w:val="it-IT"/>
        </w:rPr>
        <w:t xml:space="preserve">Informativa sui rischi </w:t>
      </w:r>
    </w:p>
    <w:p w:rsidR="001E21E9" w:rsidRPr="001E21E9" w:rsidRDefault="001E21E9" w:rsidP="001E21E9">
      <w:pPr>
        <w:spacing w:after="80" w:line="240" w:lineRule="auto"/>
        <w:rPr>
          <w:rFonts w:ascii="Frutiger 45 Light" w:hAnsi="Frutiger 45 Light"/>
          <w:sz w:val="12"/>
          <w:szCs w:val="12"/>
          <w:lang w:val="it-IT"/>
        </w:rPr>
      </w:pPr>
      <w:r w:rsidRPr="001E21E9">
        <w:rPr>
          <w:rFonts w:ascii="Frutiger 45 Light" w:hAnsi="Frutiger 45 Light"/>
          <w:sz w:val="12"/>
          <w:szCs w:val="12"/>
          <w:lang w:val="it-IT"/>
        </w:rPr>
        <w:t xml:space="preserve">Questi UBS Exchange </w:t>
      </w:r>
      <w:proofErr w:type="spellStart"/>
      <w:r w:rsidRPr="001E21E9">
        <w:rPr>
          <w:rFonts w:ascii="Frutiger 45 Light" w:hAnsi="Frutiger 45 Light"/>
          <w:sz w:val="12"/>
          <w:szCs w:val="12"/>
          <w:lang w:val="it-IT"/>
        </w:rPr>
        <w:t>Traded</w:t>
      </w:r>
      <w:proofErr w:type="spellEnd"/>
      <w:r w:rsidRPr="001E21E9">
        <w:rPr>
          <w:rFonts w:ascii="Frutiger 45 Light" w:hAnsi="Frutiger 45 Light"/>
          <w:sz w:val="12"/>
          <w:szCs w:val="12"/>
          <w:lang w:val="it-IT"/>
        </w:rPr>
        <w:t xml:space="preserve"> </w:t>
      </w:r>
      <w:proofErr w:type="spellStart"/>
      <w:r w:rsidRPr="001E21E9">
        <w:rPr>
          <w:rFonts w:ascii="Frutiger 45 Light" w:hAnsi="Frutiger 45 Light"/>
          <w:sz w:val="12"/>
          <w:szCs w:val="12"/>
          <w:lang w:val="it-IT"/>
        </w:rPr>
        <w:t>Fund</w:t>
      </w:r>
      <w:proofErr w:type="spellEnd"/>
      <w:r w:rsidRPr="001E21E9">
        <w:rPr>
          <w:rFonts w:ascii="Frutiger 45 Light" w:hAnsi="Frutiger 45 Light"/>
          <w:sz w:val="12"/>
          <w:szCs w:val="12"/>
          <w:lang w:val="it-IT"/>
        </w:rPr>
        <w:t xml:space="preserve"> investono in azioni e possono pertanto essere soggetti a notevoli oscillazioni di valore. All’investitore sono pertanto richiesti un orizzonte temporale di almeno cinque anni nonché una tolleranza al rischio e una capacità di rischio adeguate. Tutti gli investimenti sono soggetti alle oscillazioni di mercato. Ogni fondo presenta rischi specifici, che possono aumentare considerevolmente in condizioni di mercato inconsuete. Di conseguenza, il valore netto d’inventario del patrimonio del fondo dipende direttamente dalla performance dell’indice sottostante. Le perdite che potrebbero essere evitate mediante una gestione attiva non vengono compensate. </w:t>
      </w:r>
    </w:p>
    <w:p w:rsidR="001E21E9" w:rsidRPr="001E21E9" w:rsidRDefault="001E21E9" w:rsidP="001E21E9">
      <w:pPr>
        <w:spacing w:after="80" w:line="240" w:lineRule="auto"/>
        <w:rPr>
          <w:rFonts w:ascii="Frutiger 45 Light" w:hAnsi="Frutiger 45 Light"/>
          <w:sz w:val="12"/>
          <w:szCs w:val="12"/>
          <w:lang w:val="it-IT"/>
        </w:rPr>
      </w:pPr>
      <w:r w:rsidRPr="001E21E9">
        <w:rPr>
          <w:rFonts w:ascii="Frutiger 45 Light" w:hAnsi="Frutiger 45 Light"/>
          <w:b/>
          <w:bCs/>
          <w:sz w:val="12"/>
          <w:szCs w:val="12"/>
          <w:lang w:val="it-IT"/>
        </w:rPr>
        <w:t>A scopi informative e di marketing di UBS</w:t>
      </w:r>
      <w:r w:rsidRPr="001E21E9">
        <w:rPr>
          <w:rFonts w:ascii="Frutiger 45 Light" w:hAnsi="Frutiger 45 Light"/>
          <w:sz w:val="12"/>
          <w:szCs w:val="12"/>
          <w:lang w:val="it-IT"/>
        </w:rPr>
        <w:t xml:space="preserve">. Solo per investitori professionali. Le informazioni e le opinioni contenute nel presente documento si basano su dati attendibili provenienti da fonti ritenute affidabili, tuttavia non danno diritto ad alcuna pretesa riguardo alla precisione e alla completezza in relazione ai titoli, ai mercati e agli sviluppi in esso contenuti. Sia UBS SA che gli altri membri del Gruppo UBS hanno diritto di detenere, vendere o acquistare posizioni nei titoli o in altri strumenti finanziari menzionati nel presente documento. Fondi UBS di diritto lussemburghese e irlandese. Rappresentante in Italia per i fondi UBS di diritto estero: UBS </w:t>
      </w:r>
      <w:proofErr w:type="spellStart"/>
      <w:r w:rsidRPr="001E21E9">
        <w:rPr>
          <w:rFonts w:ascii="Frutiger 45 Light" w:hAnsi="Frutiger 45 Light"/>
          <w:sz w:val="12"/>
          <w:szCs w:val="12"/>
          <w:lang w:val="it-IT"/>
        </w:rPr>
        <w:t>Asset</w:t>
      </w:r>
      <w:proofErr w:type="spellEnd"/>
      <w:r w:rsidRPr="001E21E9">
        <w:rPr>
          <w:rFonts w:ascii="Frutiger 45 Light" w:hAnsi="Frutiger 45 Light"/>
          <w:sz w:val="12"/>
          <w:szCs w:val="12"/>
          <w:lang w:val="it-IT"/>
        </w:rPr>
        <w:t xml:space="preserve"> Management (Italia) SGR S.p.A., Via del Vecchio Politecnico 3, Milano. I prospetti, i prospetti semplificati o i documenti contenenti informazioni chiave per gli investitori, lo statuto o il regolamento di gestione nonché le relazioni annuali e semestrali relativi ai fondi UBS possono essere richiesti gratuitamente presso UBS SA, Casella postale, CH-4002 Basilea oppure presso UBS </w:t>
      </w:r>
      <w:proofErr w:type="spellStart"/>
      <w:r w:rsidRPr="001E21E9">
        <w:rPr>
          <w:rFonts w:ascii="Frutiger 45 Light" w:hAnsi="Frutiger 45 Light"/>
          <w:sz w:val="12"/>
          <w:szCs w:val="12"/>
          <w:lang w:val="it-IT"/>
        </w:rPr>
        <w:t>Asset</w:t>
      </w:r>
      <w:proofErr w:type="spellEnd"/>
      <w:r w:rsidRPr="001E21E9">
        <w:rPr>
          <w:rFonts w:ascii="Frutiger 45 Light" w:hAnsi="Frutiger 45 Light"/>
          <w:sz w:val="12"/>
          <w:szCs w:val="12"/>
          <w:lang w:val="it-IT"/>
        </w:rPr>
        <w:t xml:space="preserve"> Management (Italia) SGR S.p.A., Via del Vecchio Politecnico 3, Milano. </w:t>
      </w:r>
    </w:p>
    <w:p w:rsidR="001E21E9" w:rsidRPr="001E21E9" w:rsidRDefault="001E21E9" w:rsidP="001E21E9">
      <w:pPr>
        <w:spacing w:after="80" w:line="240" w:lineRule="auto"/>
        <w:rPr>
          <w:rFonts w:ascii="Frutiger 45 Light" w:hAnsi="Frutiger 45 Light"/>
          <w:sz w:val="12"/>
          <w:szCs w:val="12"/>
          <w:lang w:val="it-IT"/>
        </w:rPr>
      </w:pPr>
      <w:r w:rsidRPr="001E21E9">
        <w:rPr>
          <w:rFonts w:ascii="Frutiger 45 Light" w:hAnsi="Frutiger 45 Light"/>
          <w:sz w:val="12"/>
          <w:szCs w:val="12"/>
          <w:lang w:val="it-IT"/>
        </w:rPr>
        <w:t xml:space="preserve">Gli indici Barclays sono marchi di servizio di Barclays Capital o rispettivamente delle sue affiliate; UBS Exchange </w:t>
      </w:r>
      <w:proofErr w:type="spellStart"/>
      <w:r w:rsidRPr="001E21E9">
        <w:rPr>
          <w:rFonts w:ascii="Frutiger 45 Light" w:hAnsi="Frutiger 45 Light"/>
          <w:sz w:val="12"/>
          <w:szCs w:val="12"/>
          <w:lang w:val="it-IT"/>
        </w:rPr>
        <w:t>Traded</w:t>
      </w:r>
      <w:proofErr w:type="spellEnd"/>
      <w:r w:rsidRPr="001E21E9">
        <w:rPr>
          <w:rFonts w:ascii="Frutiger 45 Light" w:hAnsi="Frutiger 45 Light"/>
          <w:sz w:val="12"/>
          <w:szCs w:val="12"/>
          <w:lang w:val="it-IT"/>
        </w:rPr>
        <w:t xml:space="preserve"> </w:t>
      </w:r>
      <w:proofErr w:type="spellStart"/>
      <w:r w:rsidRPr="001E21E9">
        <w:rPr>
          <w:rFonts w:ascii="Frutiger 45 Light" w:hAnsi="Frutiger 45 Light"/>
          <w:sz w:val="12"/>
          <w:szCs w:val="12"/>
          <w:lang w:val="it-IT"/>
        </w:rPr>
        <w:t>Funds</w:t>
      </w:r>
      <w:proofErr w:type="spellEnd"/>
      <w:r w:rsidRPr="001E21E9">
        <w:rPr>
          <w:rFonts w:ascii="Frutiger 45 Light" w:hAnsi="Frutiger 45 Light"/>
          <w:sz w:val="12"/>
          <w:szCs w:val="12"/>
          <w:lang w:val="it-IT"/>
        </w:rPr>
        <w:t xml:space="preserve"> vanta una licenza sul loro utilizzo per determinati scopi. Barclays non sponsorizza, raccomanda né promuove i titoli finanziari qui menzionati e non si assume alcuna responsabilità nei loro confronti. Il prospetto integrale di UBS ETF </w:t>
      </w:r>
      <w:proofErr w:type="spellStart"/>
      <w:r w:rsidRPr="001E21E9">
        <w:rPr>
          <w:rFonts w:ascii="Frutiger 45 Light" w:hAnsi="Frutiger 45 Light"/>
          <w:sz w:val="12"/>
          <w:szCs w:val="12"/>
          <w:lang w:val="it-IT"/>
        </w:rPr>
        <w:t>Sicav</w:t>
      </w:r>
      <w:proofErr w:type="spellEnd"/>
      <w:r w:rsidRPr="001E21E9">
        <w:rPr>
          <w:rFonts w:ascii="Frutiger 45 Light" w:hAnsi="Frutiger 45 Light"/>
          <w:sz w:val="12"/>
          <w:szCs w:val="12"/>
          <w:lang w:val="it-IT"/>
        </w:rPr>
        <w:t xml:space="preserve"> contiene una descrizione più dettagliata del rapporto limitato che Barclays intrattiene con UBS e nei confronti dei titoli finanziari connessi. Nessun acquirente, venditore o detentore di questo prodotto, né qualsiasi altra persona o entità, può utilizzare o fare riferimento a un qualsiasi nome commerciale, marchio registrato o di servizio di Barclays per sponsorizzare, raccomandare o promuovere questo prodotto senza aver prima contattato Barclays circa la necessità o meno del suo permesso. In nessun caso persone o entità possono vantare un legame con Barclays senza previo consenso scritto da parte di Barclays.  </w:t>
      </w:r>
    </w:p>
    <w:p w:rsidR="001E21E9" w:rsidRPr="001E21E9" w:rsidRDefault="001E21E9" w:rsidP="001E21E9">
      <w:pPr>
        <w:spacing w:after="0" w:line="240" w:lineRule="auto"/>
        <w:rPr>
          <w:rFonts w:ascii="Frutiger 45 Light" w:hAnsi="Frutiger 45 Light"/>
          <w:sz w:val="12"/>
          <w:szCs w:val="12"/>
          <w:lang w:val="it-IT"/>
        </w:rPr>
      </w:pPr>
      <w:r w:rsidRPr="001E21E9">
        <w:rPr>
          <w:rFonts w:ascii="Frutiger 45 Light" w:hAnsi="Frutiger 45 Light"/>
          <w:sz w:val="12"/>
          <w:szCs w:val="12"/>
          <w:lang w:val="it-IT"/>
        </w:rPr>
        <w:t xml:space="preserve">Prima di investire in un prodotto leggere con attenzione e integralmente l’ultimo prospetto. Le quote dei fondi UBS summenzionati non possono essere né offerte, né vendute o consegnate negli Stati Uniti. Le informazioni qui specificate non sono da intendersi come una sollecitazione o un’offerta per l’acquisto o la vendita di qualsivoglia titolo o strumento finanziario collegato e non sono sufficienti per prendere una consapevole decisione in merito all'investimento nei fondi qui illustrati. I risultati passati non costituiscono un indicatore affidabile dei risultati futuri. La performance indicata non tiene conto di eventuali commissioni e costi addebitati all’atto della sottoscrizione e del riscatto di quote. Commissioni e costi si ripercuotono negativamente sulla performance. Se la valuta di un prodotto o di un servizio finanziario differisce dalla vostra moneta di riferimento, il rendimento può aumentare o diminuire a seguito delle oscillazioni di cambio.  </w:t>
      </w:r>
    </w:p>
    <w:p w:rsidR="001E21E9" w:rsidRPr="001E21E9" w:rsidRDefault="001E21E9" w:rsidP="001E21E9">
      <w:pPr>
        <w:spacing w:after="0" w:line="240" w:lineRule="auto"/>
        <w:rPr>
          <w:rFonts w:ascii="Frutiger 45 Light" w:hAnsi="Frutiger 45 Light"/>
          <w:sz w:val="12"/>
          <w:szCs w:val="12"/>
          <w:lang w:val="it-IT"/>
        </w:rPr>
      </w:pPr>
      <w:r w:rsidRPr="001E21E9">
        <w:rPr>
          <w:rFonts w:ascii="Frutiger 45 Light" w:hAnsi="Frutiger 45 Light"/>
          <w:sz w:val="12"/>
          <w:szCs w:val="12"/>
          <w:lang w:val="it-IT"/>
        </w:rPr>
        <w:lastRenderedPageBreak/>
        <w:t xml:space="preserve">Questo documento è stato redatto senza particolare riferimento né a obiettivi d’investimento specifici o futuri, né alla situazione finanziaria o fiscale, né tanto meno alle esigenze specifiche di un determinato destinatario. Le informazioni e le opinioni contenute in questo documento sono fornite da UBS senza garanzia alcuna e sono intese esclusivamente per uso interno e per scopi informativi del destinatario.  </w:t>
      </w:r>
    </w:p>
    <w:p w:rsidR="00CD362C" w:rsidRPr="001E21E9" w:rsidRDefault="001E21E9" w:rsidP="001E21E9">
      <w:pPr>
        <w:spacing w:after="0" w:line="240" w:lineRule="auto"/>
        <w:rPr>
          <w:rFonts w:ascii="Frutiger 45 Light" w:hAnsi="Frutiger 45 Light"/>
          <w:sz w:val="12"/>
          <w:szCs w:val="12"/>
          <w:lang w:val="it-IT"/>
        </w:rPr>
      </w:pPr>
      <w:r w:rsidRPr="001E21E9">
        <w:rPr>
          <w:rFonts w:ascii="Frutiger 45 Light" w:hAnsi="Frutiger 45 Light"/>
          <w:sz w:val="12"/>
          <w:szCs w:val="12"/>
          <w:lang w:val="it-IT"/>
        </w:rPr>
        <w:t>© UBS 2018. Il simbolo delle chiavi e UBS sono fra i marchi protetti di UBS. Tutti i diritti riservati.</w:t>
      </w:r>
    </w:p>
    <w:sectPr w:rsidR="00CD362C" w:rsidRPr="001E21E9" w:rsidSect="001178F8">
      <w:pgSz w:w="12240" w:h="15840"/>
      <w:pgMar w:top="540" w:right="720" w:bottom="27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E7D" w:rsidRDefault="00CE4E7D" w:rsidP="00CD362C">
      <w:pPr>
        <w:spacing w:after="0" w:line="240" w:lineRule="auto"/>
      </w:pPr>
      <w:r>
        <w:separator/>
      </w:r>
    </w:p>
  </w:endnote>
  <w:endnote w:type="continuationSeparator" w:id="0">
    <w:p w:rsidR="00CE4E7D" w:rsidRDefault="00CE4E7D" w:rsidP="00CD3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BSHeadline">
    <w:altName w:val="Cambria Math"/>
    <w:charset w:val="00"/>
    <w:family w:val="roman"/>
    <w:pitch w:val="variable"/>
    <w:sig w:usb0="A00002AF" w:usb1="5000204B" w:usb2="00000000" w:usb3="00000000" w:csb0="0000009F" w:csb1="00000000"/>
  </w:font>
  <w:font w:name="Frutiger 45 Light">
    <w:altName w:val="Corbel"/>
    <w:charset w:val="00"/>
    <w:family w:val="swiss"/>
    <w:pitch w:val="variable"/>
    <w:sig w:usb0="A00000AF" w:usb1="5000205B" w:usb2="00000000" w:usb3="00000000" w:csb0="00000193" w:csb1="00000000"/>
  </w:font>
  <w:font w:name="Frutiger45Ligh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E7D" w:rsidRDefault="00CE4E7D" w:rsidP="00CD362C">
      <w:pPr>
        <w:spacing w:after="0" w:line="240" w:lineRule="auto"/>
      </w:pPr>
      <w:r>
        <w:separator/>
      </w:r>
    </w:p>
  </w:footnote>
  <w:footnote w:type="continuationSeparator" w:id="0">
    <w:p w:rsidR="00CE4E7D" w:rsidRDefault="00CE4E7D" w:rsidP="00CD3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74230"/>
    <w:multiLevelType w:val="hybridMultilevel"/>
    <w:tmpl w:val="BA6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A074E"/>
    <w:multiLevelType w:val="hybridMultilevel"/>
    <w:tmpl w:val="B836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D0EE3"/>
    <w:multiLevelType w:val="hybridMultilevel"/>
    <w:tmpl w:val="B84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771FB"/>
    <w:multiLevelType w:val="hybridMultilevel"/>
    <w:tmpl w:val="078E4E22"/>
    <w:lvl w:ilvl="0" w:tplc="C25CDE9A">
      <w:start w:val="1"/>
      <w:numFmt w:val="bullet"/>
      <w:lvlText w:val=""/>
      <w:lvlJc w:val="left"/>
      <w:pPr>
        <w:tabs>
          <w:tab w:val="num" w:pos="720"/>
        </w:tabs>
        <w:ind w:left="720" w:hanging="360"/>
      </w:pPr>
      <w:rPr>
        <w:rFonts w:ascii="Wingdings" w:hAnsi="Wingdings" w:hint="default"/>
      </w:rPr>
    </w:lvl>
    <w:lvl w:ilvl="1" w:tplc="6B16CDD6" w:tentative="1">
      <w:start w:val="1"/>
      <w:numFmt w:val="bullet"/>
      <w:lvlText w:val=""/>
      <w:lvlJc w:val="left"/>
      <w:pPr>
        <w:tabs>
          <w:tab w:val="num" w:pos="1440"/>
        </w:tabs>
        <w:ind w:left="1440" w:hanging="360"/>
      </w:pPr>
      <w:rPr>
        <w:rFonts w:ascii="Wingdings" w:hAnsi="Wingdings" w:hint="default"/>
      </w:rPr>
    </w:lvl>
    <w:lvl w:ilvl="2" w:tplc="3AECF19C" w:tentative="1">
      <w:start w:val="1"/>
      <w:numFmt w:val="bullet"/>
      <w:lvlText w:val=""/>
      <w:lvlJc w:val="left"/>
      <w:pPr>
        <w:tabs>
          <w:tab w:val="num" w:pos="2160"/>
        </w:tabs>
        <w:ind w:left="2160" w:hanging="360"/>
      </w:pPr>
      <w:rPr>
        <w:rFonts w:ascii="Wingdings" w:hAnsi="Wingdings" w:hint="default"/>
      </w:rPr>
    </w:lvl>
    <w:lvl w:ilvl="3" w:tplc="8DAC731C" w:tentative="1">
      <w:start w:val="1"/>
      <w:numFmt w:val="bullet"/>
      <w:lvlText w:val=""/>
      <w:lvlJc w:val="left"/>
      <w:pPr>
        <w:tabs>
          <w:tab w:val="num" w:pos="2880"/>
        </w:tabs>
        <w:ind w:left="2880" w:hanging="360"/>
      </w:pPr>
      <w:rPr>
        <w:rFonts w:ascii="Wingdings" w:hAnsi="Wingdings" w:hint="default"/>
      </w:rPr>
    </w:lvl>
    <w:lvl w:ilvl="4" w:tplc="7B02A0C2" w:tentative="1">
      <w:start w:val="1"/>
      <w:numFmt w:val="bullet"/>
      <w:lvlText w:val=""/>
      <w:lvlJc w:val="left"/>
      <w:pPr>
        <w:tabs>
          <w:tab w:val="num" w:pos="3600"/>
        </w:tabs>
        <w:ind w:left="3600" w:hanging="360"/>
      </w:pPr>
      <w:rPr>
        <w:rFonts w:ascii="Wingdings" w:hAnsi="Wingdings" w:hint="default"/>
      </w:rPr>
    </w:lvl>
    <w:lvl w:ilvl="5" w:tplc="9DCC44E8" w:tentative="1">
      <w:start w:val="1"/>
      <w:numFmt w:val="bullet"/>
      <w:lvlText w:val=""/>
      <w:lvlJc w:val="left"/>
      <w:pPr>
        <w:tabs>
          <w:tab w:val="num" w:pos="4320"/>
        </w:tabs>
        <w:ind w:left="4320" w:hanging="360"/>
      </w:pPr>
      <w:rPr>
        <w:rFonts w:ascii="Wingdings" w:hAnsi="Wingdings" w:hint="default"/>
      </w:rPr>
    </w:lvl>
    <w:lvl w:ilvl="6" w:tplc="E0A24D8E" w:tentative="1">
      <w:start w:val="1"/>
      <w:numFmt w:val="bullet"/>
      <w:lvlText w:val=""/>
      <w:lvlJc w:val="left"/>
      <w:pPr>
        <w:tabs>
          <w:tab w:val="num" w:pos="5040"/>
        </w:tabs>
        <w:ind w:left="5040" w:hanging="360"/>
      </w:pPr>
      <w:rPr>
        <w:rFonts w:ascii="Wingdings" w:hAnsi="Wingdings" w:hint="default"/>
      </w:rPr>
    </w:lvl>
    <w:lvl w:ilvl="7" w:tplc="91C25438" w:tentative="1">
      <w:start w:val="1"/>
      <w:numFmt w:val="bullet"/>
      <w:lvlText w:val=""/>
      <w:lvlJc w:val="left"/>
      <w:pPr>
        <w:tabs>
          <w:tab w:val="num" w:pos="5760"/>
        </w:tabs>
        <w:ind w:left="5760" w:hanging="360"/>
      </w:pPr>
      <w:rPr>
        <w:rFonts w:ascii="Wingdings" w:hAnsi="Wingdings" w:hint="default"/>
      </w:rPr>
    </w:lvl>
    <w:lvl w:ilvl="8" w:tplc="3DE83C26" w:tentative="1">
      <w:start w:val="1"/>
      <w:numFmt w:val="bullet"/>
      <w:lvlText w:val=""/>
      <w:lvlJc w:val="left"/>
      <w:pPr>
        <w:tabs>
          <w:tab w:val="num" w:pos="6480"/>
        </w:tabs>
        <w:ind w:left="6480" w:hanging="360"/>
      </w:pPr>
      <w:rPr>
        <w:rFonts w:ascii="Wingdings" w:hAnsi="Wingdings" w:hint="default"/>
      </w:rPr>
    </w:lvl>
  </w:abstractNum>
  <w:abstractNum w:abstractNumId="4">
    <w:nsid w:val="50F75403"/>
    <w:multiLevelType w:val="hybridMultilevel"/>
    <w:tmpl w:val="60E21D7E"/>
    <w:lvl w:ilvl="0" w:tplc="C840DC48">
      <w:start w:val="1"/>
      <w:numFmt w:val="bullet"/>
      <w:lvlText w:val=""/>
      <w:lvlJc w:val="left"/>
      <w:pPr>
        <w:tabs>
          <w:tab w:val="num" w:pos="720"/>
        </w:tabs>
        <w:ind w:left="720" w:hanging="360"/>
      </w:pPr>
      <w:rPr>
        <w:rFonts w:ascii="Wingdings" w:hAnsi="Wingdings" w:hint="default"/>
      </w:rPr>
    </w:lvl>
    <w:lvl w:ilvl="1" w:tplc="581ECF60">
      <w:start w:val="9357"/>
      <w:numFmt w:val="bullet"/>
      <w:lvlText w:val="•"/>
      <w:lvlJc w:val="left"/>
      <w:pPr>
        <w:tabs>
          <w:tab w:val="num" w:pos="1440"/>
        </w:tabs>
        <w:ind w:left="1440" w:hanging="360"/>
      </w:pPr>
      <w:rPr>
        <w:rFonts w:ascii="Arial" w:hAnsi="Arial" w:hint="default"/>
      </w:rPr>
    </w:lvl>
    <w:lvl w:ilvl="2" w:tplc="4880ADC2" w:tentative="1">
      <w:start w:val="1"/>
      <w:numFmt w:val="bullet"/>
      <w:lvlText w:val=""/>
      <w:lvlJc w:val="left"/>
      <w:pPr>
        <w:tabs>
          <w:tab w:val="num" w:pos="2160"/>
        </w:tabs>
        <w:ind w:left="2160" w:hanging="360"/>
      </w:pPr>
      <w:rPr>
        <w:rFonts w:ascii="Wingdings" w:hAnsi="Wingdings" w:hint="default"/>
      </w:rPr>
    </w:lvl>
    <w:lvl w:ilvl="3" w:tplc="62FCCE82" w:tentative="1">
      <w:start w:val="1"/>
      <w:numFmt w:val="bullet"/>
      <w:lvlText w:val=""/>
      <w:lvlJc w:val="left"/>
      <w:pPr>
        <w:tabs>
          <w:tab w:val="num" w:pos="2880"/>
        </w:tabs>
        <w:ind w:left="2880" w:hanging="360"/>
      </w:pPr>
      <w:rPr>
        <w:rFonts w:ascii="Wingdings" w:hAnsi="Wingdings" w:hint="default"/>
      </w:rPr>
    </w:lvl>
    <w:lvl w:ilvl="4" w:tplc="0472F156" w:tentative="1">
      <w:start w:val="1"/>
      <w:numFmt w:val="bullet"/>
      <w:lvlText w:val=""/>
      <w:lvlJc w:val="left"/>
      <w:pPr>
        <w:tabs>
          <w:tab w:val="num" w:pos="3600"/>
        </w:tabs>
        <w:ind w:left="3600" w:hanging="360"/>
      </w:pPr>
      <w:rPr>
        <w:rFonts w:ascii="Wingdings" w:hAnsi="Wingdings" w:hint="default"/>
      </w:rPr>
    </w:lvl>
    <w:lvl w:ilvl="5" w:tplc="30967382" w:tentative="1">
      <w:start w:val="1"/>
      <w:numFmt w:val="bullet"/>
      <w:lvlText w:val=""/>
      <w:lvlJc w:val="left"/>
      <w:pPr>
        <w:tabs>
          <w:tab w:val="num" w:pos="4320"/>
        </w:tabs>
        <w:ind w:left="4320" w:hanging="360"/>
      </w:pPr>
      <w:rPr>
        <w:rFonts w:ascii="Wingdings" w:hAnsi="Wingdings" w:hint="default"/>
      </w:rPr>
    </w:lvl>
    <w:lvl w:ilvl="6" w:tplc="D64E0522" w:tentative="1">
      <w:start w:val="1"/>
      <w:numFmt w:val="bullet"/>
      <w:lvlText w:val=""/>
      <w:lvlJc w:val="left"/>
      <w:pPr>
        <w:tabs>
          <w:tab w:val="num" w:pos="5040"/>
        </w:tabs>
        <w:ind w:left="5040" w:hanging="360"/>
      </w:pPr>
      <w:rPr>
        <w:rFonts w:ascii="Wingdings" w:hAnsi="Wingdings" w:hint="default"/>
      </w:rPr>
    </w:lvl>
    <w:lvl w:ilvl="7" w:tplc="5DF87AB8" w:tentative="1">
      <w:start w:val="1"/>
      <w:numFmt w:val="bullet"/>
      <w:lvlText w:val=""/>
      <w:lvlJc w:val="left"/>
      <w:pPr>
        <w:tabs>
          <w:tab w:val="num" w:pos="5760"/>
        </w:tabs>
        <w:ind w:left="5760" w:hanging="360"/>
      </w:pPr>
      <w:rPr>
        <w:rFonts w:ascii="Wingdings" w:hAnsi="Wingdings" w:hint="default"/>
      </w:rPr>
    </w:lvl>
    <w:lvl w:ilvl="8" w:tplc="839C8AC2" w:tentative="1">
      <w:start w:val="1"/>
      <w:numFmt w:val="bullet"/>
      <w:lvlText w:val=""/>
      <w:lvlJc w:val="left"/>
      <w:pPr>
        <w:tabs>
          <w:tab w:val="num" w:pos="6480"/>
        </w:tabs>
        <w:ind w:left="6480" w:hanging="360"/>
      </w:pPr>
      <w:rPr>
        <w:rFonts w:ascii="Wingdings" w:hAnsi="Wingdings" w:hint="default"/>
      </w:rPr>
    </w:lvl>
  </w:abstractNum>
  <w:abstractNum w:abstractNumId="5">
    <w:nsid w:val="52901986"/>
    <w:multiLevelType w:val="hybridMultilevel"/>
    <w:tmpl w:val="D0EEE472"/>
    <w:lvl w:ilvl="0" w:tplc="8724F072">
      <w:start w:val="1"/>
      <w:numFmt w:val="bullet"/>
      <w:lvlText w:val=""/>
      <w:lvlJc w:val="left"/>
      <w:pPr>
        <w:tabs>
          <w:tab w:val="num" w:pos="720"/>
        </w:tabs>
        <w:ind w:left="720" w:hanging="360"/>
      </w:pPr>
      <w:rPr>
        <w:rFonts w:ascii="Wingdings" w:hAnsi="Wingdings" w:hint="default"/>
      </w:rPr>
    </w:lvl>
    <w:lvl w:ilvl="1" w:tplc="08B8BA86" w:tentative="1">
      <w:start w:val="1"/>
      <w:numFmt w:val="bullet"/>
      <w:lvlText w:val=""/>
      <w:lvlJc w:val="left"/>
      <w:pPr>
        <w:tabs>
          <w:tab w:val="num" w:pos="1440"/>
        </w:tabs>
        <w:ind w:left="1440" w:hanging="360"/>
      </w:pPr>
      <w:rPr>
        <w:rFonts w:ascii="Wingdings" w:hAnsi="Wingdings" w:hint="default"/>
      </w:rPr>
    </w:lvl>
    <w:lvl w:ilvl="2" w:tplc="46E07AF8" w:tentative="1">
      <w:start w:val="1"/>
      <w:numFmt w:val="bullet"/>
      <w:lvlText w:val=""/>
      <w:lvlJc w:val="left"/>
      <w:pPr>
        <w:tabs>
          <w:tab w:val="num" w:pos="2160"/>
        </w:tabs>
        <w:ind w:left="2160" w:hanging="360"/>
      </w:pPr>
      <w:rPr>
        <w:rFonts w:ascii="Wingdings" w:hAnsi="Wingdings" w:hint="default"/>
      </w:rPr>
    </w:lvl>
    <w:lvl w:ilvl="3" w:tplc="1E38C9A8" w:tentative="1">
      <w:start w:val="1"/>
      <w:numFmt w:val="bullet"/>
      <w:lvlText w:val=""/>
      <w:lvlJc w:val="left"/>
      <w:pPr>
        <w:tabs>
          <w:tab w:val="num" w:pos="2880"/>
        </w:tabs>
        <w:ind w:left="2880" w:hanging="360"/>
      </w:pPr>
      <w:rPr>
        <w:rFonts w:ascii="Wingdings" w:hAnsi="Wingdings" w:hint="default"/>
      </w:rPr>
    </w:lvl>
    <w:lvl w:ilvl="4" w:tplc="EEA84EDA" w:tentative="1">
      <w:start w:val="1"/>
      <w:numFmt w:val="bullet"/>
      <w:lvlText w:val=""/>
      <w:lvlJc w:val="left"/>
      <w:pPr>
        <w:tabs>
          <w:tab w:val="num" w:pos="3600"/>
        </w:tabs>
        <w:ind w:left="3600" w:hanging="360"/>
      </w:pPr>
      <w:rPr>
        <w:rFonts w:ascii="Wingdings" w:hAnsi="Wingdings" w:hint="default"/>
      </w:rPr>
    </w:lvl>
    <w:lvl w:ilvl="5" w:tplc="7E5CFC88" w:tentative="1">
      <w:start w:val="1"/>
      <w:numFmt w:val="bullet"/>
      <w:lvlText w:val=""/>
      <w:lvlJc w:val="left"/>
      <w:pPr>
        <w:tabs>
          <w:tab w:val="num" w:pos="4320"/>
        </w:tabs>
        <w:ind w:left="4320" w:hanging="360"/>
      </w:pPr>
      <w:rPr>
        <w:rFonts w:ascii="Wingdings" w:hAnsi="Wingdings" w:hint="default"/>
      </w:rPr>
    </w:lvl>
    <w:lvl w:ilvl="6" w:tplc="8140EF16" w:tentative="1">
      <w:start w:val="1"/>
      <w:numFmt w:val="bullet"/>
      <w:lvlText w:val=""/>
      <w:lvlJc w:val="left"/>
      <w:pPr>
        <w:tabs>
          <w:tab w:val="num" w:pos="5040"/>
        </w:tabs>
        <w:ind w:left="5040" w:hanging="360"/>
      </w:pPr>
      <w:rPr>
        <w:rFonts w:ascii="Wingdings" w:hAnsi="Wingdings" w:hint="default"/>
      </w:rPr>
    </w:lvl>
    <w:lvl w:ilvl="7" w:tplc="A96889D2" w:tentative="1">
      <w:start w:val="1"/>
      <w:numFmt w:val="bullet"/>
      <w:lvlText w:val=""/>
      <w:lvlJc w:val="left"/>
      <w:pPr>
        <w:tabs>
          <w:tab w:val="num" w:pos="5760"/>
        </w:tabs>
        <w:ind w:left="5760" w:hanging="360"/>
      </w:pPr>
      <w:rPr>
        <w:rFonts w:ascii="Wingdings" w:hAnsi="Wingdings" w:hint="default"/>
      </w:rPr>
    </w:lvl>
    <w:lvl w:ilvl="8" w:tplc="C39A9A14" w:tentative="1">
      <w:start w:val="1"/>
      <w:numFmt w:val="bullet"/>
      <w:lvlText w:val=""/>
      <w:lvlJc w:val="left"/>
      <w:pPr>
        <w:tabs>
          <w:tab w:val="num" w:pos="6480"/>
        </w:tabs>
        <w:ind w:left="6480" w:hanging="360"/>
      </w:pPr>
      <w:rPr>
        <w:rFonts w:ascii="Wingdings" w:hAnsi="Wingdings" w:hint="default"/>
      </w:rPr>
    </w:lvl>
  </w:abstractNum>
  <w:abstractNum w:abstractNumId="6">
    <w:nsid w:val="7AC5180F"/>
    <w:multiLevelType w:val="hybridMultilevel"/>
    <w:tmpl w:val="618C9AEA"/>
    <w:lvl w:ilvl="0" w:tplc="6A0A9866">
      <w:start w:val="1"/>
      <w:numFmt w:val="bullet"/>
      <w:lvlText w:val=""/>
      <w:lvlJc w:val="left"/>
      <w:pPr>
        <w:tabs>
          <w:tab w:val="num" w:pos="720"/>
        </w:tabs>
        <w:ind w:left="720" w:hanging="360"/>
      </w:pPr>
      <w:rPr>
        <w:rFonts w:ascii="Wingdings" w:hAnsi="Wingdings" w:hint="default"/>
      </w:rPr>
    </w:lvl>
    <w:lvl w:ilvl="1" w:tplc="F2F6690E" w:tentative="1">
      <w:start w:val="1"/>
      <w:numFmt w:val="bullet"/>
      <w:lvlText w:val=""/>
      <w:lvlJc w:val="left"/>
      <w:pPr>
        <w:tabs>
          <w:tab w:val="num" w:pos="1440"/>
        </w:tabs>
        <w:ind w:left="1440" w:hanging="360"/>
      </w:pPr>
      <w:rPr>
        <w:rFonts w:ascii="Wingdings" w:hAnsi="Wingdings" w:hint="default"/>
      </w:rPr>
    </w:lvl>
    <w:lvl w:ilvl="2" w:tplc="A9C461F2" w:tentative="1">
      <w:start w:val="1"/>
      <w:numFmt w:val="bullet"/>
      <w:lvlText w:val=""/>
      <w:lvlJc w:val="left"/>
      <w:pPr>
        <w:tabs>
          <w:tab w:val="num" w:pos="2160"/>
        </w:tabs>
        <w:ind w:left="2160" w:hanging="360"/>
      </w:pPr>
      <w:rPr>
        <w:rFonts w:ascii="Wingdings" w:hAnsi="Wingdings" w:hint="default"/>
      </w:rPr>
    </w:lvl>
    <w:lvl w:ilvl="3" w:tplc="0FA81E3E" w:tentative="1">
      <w:start w:val="1"/>
      <w:numFmt w:val="bullet"/>
      <w:lvlText w:val=""/>
      <w:lvlJc w:val="left"/>
      <w:pPr>
        <w:tabs>
          <w:tab w:val="num" w:pos="2880"/>
        </w:tabs>
        <w:ind w:left="2880" w:hanging="360"/>
      </w:pPr>
      <w:rPr>
        <w:rFonts w:ascii="Wingdings" w:hAnsi="Wingdings" w:hint="default"/>
      </w:rPr>
    </w:lvl>
    <w:lvl w:ilvl="4" w:tplc="814E1F90" w:tentative="1">
      <w:start w:val="1"/>
      <w:numFmt w:val="bullet"/>
      <w:lvlText w:val=""/>
      <w:lvlJc w:val="left"/>
      <w:pPr>
        <w:tabs>
          <w:tab w:val="num" w:pos="3600"/>
        </w:tabs>
        <w:ind w:left="3600" w:hanging="360"/>
      </w:pPr>
      <w:rPr>
        <w:rFonts w:ascii="Wingdings" w:hAnsi="Wingdings" w:hint="default"/>
      </w:rPr>
    </w:lvl>
    <w:lvl w:ilvl="5" w:tplc="3508DCA0" w:tentative="1">
      <w:start w:val="1"/>
      <w:numFmt w:val="bullet"/>
      <w:lvlText w:val=""/>
      <w:lvlJc w:val="left"/>
      <w:pPr>
        <w:tabs>
          <w:tab w:val="num" w:pos="4320"/>
        </w:tabs>
        <w:ind w:left="4320" w:hanging="360"/>
      </w:pPr>
      <w:rPr>
        <w:rFonts w:ascii="Wingdings" w:hAnsi="Wingdings" w:hint="default"/>
      </w:rPr>
    </w:lvl>
    <w:lvl w:ilvl="6" w:tplc="6540C134" w:tentative="1">
      <w:start w:val="1"/>
      <w:numFmt w:val="bullet"/>
      <w:lvlText w:val=""/>
      <w:lvlJc w:val="left"/>
      <w:pPr>
        <w:tabs>
          <w:tab w:val="num" w:pos="5040"/>
        </w:tabs>
        <w:ind w:left="5040" w:hanging="360"/>
      </w:pPr>
      <w:rPr>
        <w:rFonts w:ascii="Wingdings" w:hAnsi="Wingdings" w:hint="default"/>
      </w:rPr>
    </w:lvl>
    <w:lvl w:ilvl="7" w:tplc="694031DE" w:tentative="1">
      <w:start w:val="1"/>
      <w:numFmt w:val="bullet"/>
      <w:lvlText w:val=""/>
      <w:lvlJc w:val="left"/>
      <w:pPr>
        <w:tabs>
          <w:tab w:val="num" w:pos="5760"/>
        </w:tabs>
        <w:ind w:left="5760" w:hanging="360"/>
      </w:pPr>
      <w:rPr>
        <w:rFonts w:ascii="Wingdings" w:hAnsi="Wingdings" w:hint="default"/>
      </w:rPr>
    </w:lvl>
    <w:lvl w:ilvl="8" w:tplc="71A43C9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0B2C8B"/>
    <w:rsid w:val="00050294"/>
    <w:rsid w:val="00055B9D"/>
    <w:rsid w:val="000B1A4C"/>
    <w:rsid w:val="000B2C8B"/>
    <w:rsid w:val="001178F8"/>
    <w:rsid w:val="001642A4"/>
    <w:rsid w:val="00177EA7"/>
    <w:rsid w:val="001A5DA0"/>
    <w:rsid w:val="001B2E40"/>
    <w:rsid w:val="001E21E9"/>
    <w:rsid w:val="0031574E"/>
    <w:rsid w:val="00351A31"/>
    <w:rsid w:val="00371A6C"/>
    <w:rsid w:val="00372F59"/>
    <w:rsid w:val="00376BA3"/>
    <w:rsid w:val="003A5837"/>
    <w:rsid w:val="003C4F13"/>
    <w:rsid w:val="0044132E"/>
    <w:rsid w:val="004526CD"/>
    <w:rsid w:val="00473698"/>
    <w:rsid w:val="00476104"/>
    <w:rsid w:val="004C0FE4"/>
    <w:rsid w:val="005A0BAE"/>
    <w:rsid w:val="005F3C1F"/>
    <w:rsid w:val="006508A0"/>
    <w:rsid w:val="0067763F"/>
    <w:rsid w:val="006B6159"/>
    <w:rsid w:val="00785070"/>
    <w:rsid w:val="007F18D9"/>
    <w:rsid w:val="008578FF"/>
    <w:rsid w:val="00887AB7"/>
    <w:rsid w:val="008B5E44"/>
    <w:rsid w:val="008F4A78"/>
    <w:rsid w:val="00933668"/>
    <w:rsid w:val="00997D4B"/>
    <w:rsid w:val="009A154A"/>
    <w:rsid w:val="009C6267"/>
    <w:rsid w:val="00A30880"/>
    <w:rsid w:val="00A3657D"/>
    <w:rsid w:val="00AA7062"/>
    <w:rsid w:val="00AC3CA7"/>
    <w:rsid w:val="00B30901"/>
    <w:rsid w:val="00C1000F"/>
    <w:rsid w:val="00CC3E3B"/>
    <w:rsid w:val="00CD362C"/>
    <w:rsid w:val="00CE4E7D"/>
    <w:rsid w:val="00D2460A"/>
    <w:rsid w:val="00D57900"/>
    <w:rsid w:val="00D95D56"/>
    <w:rsid w:val="00DA5EDE"/>
    <w:rsid w:val="00DD3491"/>
    <w:rsid w:val="00E2553F"/>
    <w:rsid w:val="00E539AB"/>
    <w:rsid w:val="00E8222D"/>
    <w:rsid w:val="00EA004D"/>
    <w:rsid w:val="00F059E7"/>
    <w:rsid w:val="00F557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15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B2C8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2C8B"/>
    <w:rPr>
      <w:rFonts w:ascii="Tahoma" w:hAnsi="Tahoma" w:cs="Tahoma"/>
      <w:sz w:val="16"/>
      <w:szCs w:val="16"/>
    </w:rPr>
  </w:style>
  <w:style w:type="table" w:styleId="Grigliatabella">
    <w:name w:val="Table Grid"/>
    <w:basedOn w:val="Tabellanormale"/>
    <w:uiPriority w:val="59"/>
    <w:rsid w:val="00452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4526CD"/>
    <w:pPr>
      <w:ind w:left="720"/>
      <w:contextualSpacing/>
    </w:pPr>
  </w:style>
  <w:style w:type="paragraph" w:styleId="Intestazione">
    <w:name w:val="header"/>
    <w:basedOn w:val="Normale"/>
    <w:link w:val="IntestazioneCarattere"/>
    <w:uiPriority w:val="99"/>
    <w:unhideWhenUsed/>
    <w:rsid w:val="00CD362C"/>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CD362C"/>
  </w:style>
  <w:style w:type="paragraph" w:styleId="Pidipagina">
    <w:name w:val="footer"/>
    <w:basedOn w:val="Normale"/>
    <w:link w:val="PidipaginaCarattere"/>
    <w:uiPriority w:val="99"/>
    <w:unhideWhenUsed/>
    <w:rsid w:val="00CD362C"/>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CD362C"/>
  </w:style>
  <w:style w:type="paragraph" w:styleId="Testonotaapidipagina">
    <w:name w:val="footnote text"/>
    <w:basedOn w:val="Normale"/>
    <w:link w:val="TestonotaapidipaginaCarattere"/>
    <w:uiPriority w:val="99"/>
    <w:semiHidden/>
    <w:unhideWhenUsed/>
    <w:rsid w:val="00CD362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D362C"/>
    <w:rPr>
      <w:sz w:val="20"/>
      <w:szCs w:val="20"/>
    </w:rPr>
  </w:style>
  <w:style w:type="character" w:styleId="Rimandonotaapidipagina">
    <w:name w:val="footnote reference"/>
    <w:basedOn w:val="Carpredefinitoparagrafo"/>
    <w:uiPriority w:val="99"/>
    <w:semiHidden/>
    <w:unhideWhenUsed/>
    <w:rsid w:val="00CD36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8B"/>
    <w:rPr>
      <w:rFonts w:ascii="Tahoma" w:hAnsi="Tahoma" w:cs="Tahoma"/>
      <w:sz w:val="16"/>
      <w:szCs w:val="16"/>
    </w:rPr>
  </w:style>
  <w:style w:type="table" w:styleId="TableGrid">
    <w:name w:val="Table Grid"/>
    <w:basedOn w:val="TableNormal"/>
    <w:uiPriority w:val="59"/>
    <w:rsid w:val="00452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6CD"/>
    <w:pPr>
      <w:ind w:left="720"/>
      <w:contextualSpacing/>
    </w:pPr>
  </w:style>
  <w:style w:type="paragraph" w:styleId="Header">
    <w:name w:val="header"/>
    <w:basedOn w:val="Normal"/>
    <w:link w:val="HeaderChar"/>
    <w:uiPriority w:val="99"/>
    <w:unhideWhenUsed/>
    <w:rsid w:val="00CD3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62C"/>
  </w:style>
  <w:style w:type="paragraph" w:styleId="Footer">
    <w:name w:val="footer"/>
    <w:basedOn w:val="Normal"/>
    <w:link w:val="FooterChar"/>
    <w:uiPriority w:val="99"/>
    <w:unhideWhenUsed/>
    <w:rsid w:val="00CD3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2C"/>
  </w:style>
  <w:style w:type="paragraph" w:styleId="FootnoteText">
    <w:name w:val="footnote text"/>
    <w:basedOn w:val="Normal"/>
    <w:link w:val="FootnoteTextChar"/>
    <w:uiPriority w:val="99"/>
    <w:semiHidden/>
    <w:unhideWhenUsed/>
    <w:rsid w:val="00CD36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62C"/>
    <w:rPr>
      <w:sz w:val="20"/>
      <w:szCs w:val="20"/>
    </w:rPr>
  </w:style>
  <w:style w:type="character" w:styleId="FootnoteReference">
    <w:name w:val="footnote reference"/>
    <w:basedOn w:val="DefaultParagraphFont"/>
    <w:uiPriority w:val="99"/>
    <w:semiHidden/>
    <w:unhideWhenUsed/>
    <w:rsid w:val="00CD362C"/>
    <w:rPr>
      <w:vertAlign w:val="superscript"/>
    </w:rPr>
  </w:style>
</w:styles>
</file>

<file path=word/webSettings.xml><?xml version="1.0" encoding="utf-8"?>
<w:webSettings xmlns:r="http://schemas.openxmlformats.org/officeDocument/2006/relationships" xmlns:w="http://schemas.openxmlformats.org/wordprocessingml/2006/main">
  <w:divs>
    <w:div w:id="242683133">
      <w:bodyDiv w:val="1"/>
      <w:marLeft w:val="0"/>
      <w:marRight w:val="0"/>
      <w:marTop w:val="0"/>
      <w:marBottom w:val="0"/>
      <w:divBdr>
        <w:top w:val="none" w:sz="0" w:space="0" w:color="auto"/>
        <w:left w:val="none" w:sz="0" w:space="0" w:color="auto"/>
        <w:bottom w:val="none" w:sz="0" w:space="0" w:color="auto"/>
        <w:right w:val="none" w:sz="0" w:space="0" w:color="auto"/>
      </w:divBdr>
      <w:divsChild>
        <w:div w:id="1484661309">
          <w:marLeft w:val="446"/>
          <w:marRight w:val="0"/>
          <w:marTop w:val="216"/>
          <w:marBottom w:val="0"/>
          <w:divBdr>
            <w:top w:val="none" w:sz="0" w:space="0" w:color="auto"/>
            <w:left w:val="none" w:sz="0" w:space="0" w:color="auto"/>
            <w:bottom w:val="none" w:sz="0" w:space="0" w:color="auto"/>
            <w:right w:val="none" w:sz="0" w:space="0" w:color="auto"/>
          </w:divBdr>
        </w:div>
      </w:divsChild>
    </w:div>
    <w:div w:id="336856540">
      <w:bodyDiv w:val="1"/>
      <w:marLeft w:val="0"/>
      <w:marRight w:val="0"/>
      <w:marTop w:val="0"/>
      <w:marBottom w:val="0"/>
      <w:divBdr>
        <w:top w:val="none" w:sz="0" w:space="0" w:color="auto"/>
        <w:left w:val="none" w:sz="0" w:space="0" w:color="auto"/>
        <w:bottom w:val="none" w:sz="0" w:space="0" w:color="auto"/>
        <w:right w:val="none" w:sz="0" w:space="0" w:color="auto"/>
      </w:divBdr>
      <w:divsChild>
        <w:div w:id="1788234922">
          <w:marLeft w:val="547"/>
          <w:marRight w:val="0"/>
          <w:marTop w:val="0"/>
          <w:marBottom w:val="0"/>
          <w:divBdr>
            <w:top w:val="none" w:sz="0" w:space="0" w:color="auto"/>
            <w:left w:val="none" w:sz="0" w:space="0" w:color="auto"/>
            <w:bottom w:val="none" w:sz="0" w:space="0" w:color="auto"/>
            <w:right w:val="none" w:sz="0" w:space="0" w:color="auto"/>
          </w:divBdr>
        </w:div>
        <w:div w:id="84738646">
          <w:marLeft w:val="547"/>
          <w:marRight w:val="0"/>
          <w:marTop w:val="0"/>
          <w:marBottom w:val="0"/>
          <w:divBdr>
            <w:top w:val="none" w:sz="0" w:space="0" w:color="auto"/>
            <w:left w:val="none" w:sz="0" w:space="0" w:color="auto"/>
            <w:bottom w:val="none" w:sz="0" w:space="0" w:color="auto"/>
            <w:right w:val="none" w:sz="0" w:space="0" w:color="auto"/>
          </w:divBdr>
        </w:div>
      </w:divsChild>
    </w:div>
    <w:div w:id="906499527">
      <w:bodyDiv w:val="1"/>
      <w:marLeft w:val="0"/>
      <w:marRight w:val="0"/>
      <w:marTop w:val="0"/>
      <w:marBottom w:val="0"/>
      <w:divBdr>
        <w:top w:val="none" w:sz="0" w:space="0" w:color="auto"/>
        <w:left w:val="none" w:sz="0" w:space="0" w:color="auto"/>
        <w:bottom w:val="none" w:sz="0" w:space="0" w:color="auto"/>
        <w:right w:val="none" w:sz="0" w:space="0" w:color="auto"/>
      </w:divBdr>
      <w:divsChild>
        <w:div w:id="2012290578">
          <w:marLeft w:val="547"/>
          <w:marRight w:val="0"/>
          <w:marTop w:val="0"/>
          <w:marBottom w:val="0"/>
          <w:divBdr>
            <w:top w:val="none" w:sz="0" w:space="0" w:color="auto"/>
            <w:left w:val="none" w:sz="0" w:space="0" w:color="auto"/>
            <w:bottom w:val="none" w:sz="0" w:space="0" w:color="auto"/>
            <w:right w:val="none" w:sz="0" w:space="0" w:color="auto"/>
          </w:divBdr>
        </w:div>
        <w:div w:id="1879853132">
          <w:marLeft w:val="547"/>
          <w:marRight w:val="0"/>
          <w:marTop w:val="0"/>
          <w:marBottom w:val="0"/>
          <w:divBdr>
            <w:top w:val="none" w:sz="0" w:space="0" w:color="auto"/>
            <w:left w:val="none" w:sz="0" w:space="0" w:color="auto"/>
            <w:bottom w:val="none" w:sz="0" w:space="0" w:color="auto"/>
            <w:right w:val="none" w:sz="0" w:space="0" w:color="auto"/>
          </w:divBdr>
        </w:div>
      </w:divsChild>
    </w:div>
    <w:div w:id="992947251">
      <w:bodyDiv w:val="1"/>
      <w:marLeft w:val="0"/>
      <w:marRight w:val="0"/>
      <w:marTop w:val="0"/>
      <w:marBottom w:val="0"/>
      <w:divBdr>
        <w:top w:val="none" w:sz="0" w:space="0" w:color="auto"/>
        <w:left w:val="none" w:sz="0" w:space="0" w:color="auto"/>
        <w:bottom w:val="none" w:sz="0" w:space="0" w:color="auto"/>
        <w:right w:val="none" w:sz="0" w:space="0" w:color="auto"/>
      </w:divBdr>
      <w:divsChild>
        <w:div w:id="1056011564">
          <w:marLeft w:val="446"/>
          <w:marRight w:val="0"/>
          <w:marTop w:val="216"/>
          <w:marBottom w:val="0"/>
          <w:divBdr>
            <w:top w:val="none" w:sz="0" w:space="0" w:color="auto"/>
            <w:left w:val="none" w:sz="0" w:space="0" w:color="auto"/>
            <w:bottom w:val="none" w:sz="0" w:space="0" w:color="auto"/>
            <w:right w:val="none" w:sz="0" w:space="0" w:color="auto"/>
          </w:divBdr>
        </w:div>
      </w:divsChild>
    </w:div>
    <w:div w:id="1548033533">
      <w:bodyDiv w:val="1"/>
      <w:marLeft w:val="0"/>
      <w:marRight w:val="0"/>
      <w:marTop w:val="0"/>
      <w:marBottom w:val="0"/>
      <w:divBdr>
        <w:top w:val="none" w:sz="0" w:space="0" w:color="auto"/>
        <w:left w:val="none" w:sz="0" w:space="0" w:color="auto"/>
        <w:bottom w:val="none" w:sz="0" w:space="0" w:color="auto"/>
        <w:right w:val="none" w:sz="0" w:space="0" w:color="auto"/>
      </w:divBdr>
      <w:divsChild>
        <w:div w:id="754664650">
          <w:marLeft w:val="0"/>
          <w:marRight w:val="0"/>
          <w:marTop w:val="0"/>
          <w:marBottom w:val="300"/>
          <w:divBdr>
            <w:top w:val="none" w:sz="0" w:space="0" w:color="auto"/>
            <w:left w:val="none" w:sz="0" w:space="0" w:color="auto"/>
            <w:bottom w:val="none" w:sz="0" w:space="0" w:color="auto"/>
            <w:right w:val="none" w:sz="0" w:space="0" w:color="auto"/>
          </w:divBdr>
          <w:divsChild>
            <w:div w:id="509029934">
              <w:marLeft w:val="0"/>
              <w:marRight w:val="0"/>
              <w:marTop w:val="0"/>
              <w:marBottom w:val="0"/>
              <w:divBdr>
                <w:top w:val="none" w:sz="0" w:space="0" w:color="auto"/>
                <w:left w:val="none" w:sz="0" w:space="0" w:color="auto"/>
                <w:bottom w:val="none" w:sz="0" w:space="0" w:color="auto"/>
                <w:right w:val="none" w:sz="0" w:space="0" w:color="auto"/>
              </w:divBdr>
              <w:divsChild>
                <w:div w:id="130442872">
                  <w:marLeft w:val="0"/>
                  <w:marRight w:val="0"/>
                  <w:marTop w:val="0"/>
                  <w:marBottom w:val="0"/>
                  <w:divBdr>
                    <w:top w:val="none" w:sz="0" w:space="0" w:color="auto"/>
                    <w:left w:val="none" w:sz="0" w:space="0" w:color="auto"/>
                    <w:bottom w:val="none" w:sz="0" w:space="0" w:color="auto"/>
                    <w:right w:val="none" w:sz="0" w:space="0" w:color="auto"/>
                  </w:divBdr>
                  <w:divsChild>
                    <w:div w:id="1101875996">
                      <w:marLeft w:val="0"/>
                      <w:marRight w:val="0"/>
                      <w:marTop w:val="0"/>
                      <w:marBottom w:val="0"/>
                      <w:divBdr>
                        <w:top w:val="none" w:sz="0" w:space="0" w:color="auto"/>
                        <w:left w:val="none" w:sz="0" w:space="0" w:color="auto"/>
                        <w:bottom w:val="none" w:sz="0" w:space="0" w:color="auto"/>
                        <w:right w:val="none" w:sz="0" w:space="0" w:color="auto"/>
                      </w:divBdr>
                      <w:divsChild>
                        <w:div w:id="1564170357">
                          <w:marLeft w:val="0"/>
                          <w:marRight w:val="0"/>
                          <w:marTop w:val="0"/>
                          <w:marBottom w:val="0"/>
                          <w:divBdr>
                            <w:top w:val="none" w:sz="0" w:space="0" w:color="auto"/>
                            <w:left w:val="none" w:sz="0" w:space="0" w:color="auto"/>
                            <w:bottom w:val="none" w:sz="0" w:space="0" w:color="auto"/>
                            <w:right w:val="none" w:sz="0" w:space="0" w:color="auto"/>
                          </w:divBdr>
                          <w:divsChild>
                            <w:div w:id="528416960">
                              <w:marLeft w:val="0"/>
                              <w:marRight w:val="0"/>
                              <w:marTop w:val="0"/>
                              <w:marBottom w:val="0"/>
                              <w:divBdr>
                                <w:top w:val="none" w:sz="0" w:space="0" w:color="auto"/>
                                <w:left w:val="none" w:sz="0" w:space="0" w:color="auto"/>
                                <w:bottom w:val="none" w:sz="0" w:space="0" w:color="auto"/>
                                <w:right w:val="none" w:sz="0" w:space="0" w:color="auto"/>
                              </w:divBdr>
                              <w:divsChild>
                                <w:div w:id="977221632">
                                  <w:marLeft w:val="0"/>
                                  <w:marRight w:val="0"/>
                                  <w:marTop w:val="0"/>
                                  <w:marBottom w:val="0"/>
                                  <w:divBdr>
                                    <w:top w:val="none" w:sz="0" w:space="0" w:color="auto"/>
                                    <w:left w:val="none" w:sz="0" w:space="0" w:color="auto"/>
                                    <w:bottom w:val="none" w:sz="0" w:space="0" w:color="auto"/>
                                    <w:right w:val="none" w:sz="0" w:space="0" w:color="auto"/>
                                  </w:divBdr>
                                  <w:divsChild>
                                    <w:div w:id="236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88232">
      <w:bodyDiv w:val="1"/>
      <w:marLeft w:val="0"/>
      <w:marRight w:val="0"/>
      <w:marTop w:val="0"/>
      <w:marBottom w:val="0"/>
      <w:divBdr>
        <w:top w:val="none" w:sz="0" w:space="0" w:color="auto"/>
        <w:left w:val="none" w:sz="0" w:space="0" w:color="auto"/>
        <w:bottom w:val="none" w:sz="0" w:space="0" w:color="auto"/>
        <w:right w:val="none" w:sz="0" w:space="0" w:color="auto"/>
      </w:divBdr>
      <w:divsChild>
        <w:div w:id="163862089">
          <w:marLeft w:val="446"/>
          <w:marRight w:val="0"/>
          <w:marTop w:val="216"/>
          <w:marBottom w:val="0"/>
          <w:divBdr>
            <w:top w:val="none" w:sz="0" w:space="0" w:color="auto"/>
            <w:left w:val="none" w:sz="0" w:space="0" w:color="auto"/>
            <w:bottom w:val="none" w:sz="0" w:space="0" w:color="auto"/>
            <w:right w:val="none" w:sz="0" w:space="0" w:color="auto"/>
          </w:divBdr>
        </w:div>
      </w:divsChild>
    </w:div>
    <w:div w:id="1915629407">
      <w:bodyDiv w:val="1"/>
      <w:marLeft w:val="0"/>
      <w:marRight w:val="0"/>
      <w:marTop w:val="0"/>
      <w:marBottom w:val="0"/>
      <w:divBdr>
        <w:top w:val="none" w:sz="0" w:space="0" w:color="auto"/>
        <w:left w:val="none" w:sz="0" w:space="0" w:color="auto"/>
        <w:bottom w:val="none" w:sz="0" w:space="0" w:color="auto"/>
        <w:right w:val="none" w:sz="0" w:space="0" w:color="auto"/>
      </w:divBdr>
      <w:divsChild>
        <w:div w:id="1595897107">
          <w:marLeft w:val="446"/>
          <w:marRight w:val="0"/>
          <w:marTop w:val="216"/>
          <w:marBottom w:val="0"/>
          <w:divBdr>
            <w:top w:val="none" w:sz="0" w:space="0" w:color="auto"/>
            <w:left w:val="none" w:sz="0" w:space="0" w:color="auto"/>
            <w:bottom w:val="none" w:sz="0" w:space="0" w:color="auto"/>
            <w:right w:val="none" w:sz="0" w:space="0" w:color="auto"/>
          </w:divBdr>
        </w:div>
        <w:div w:id="477917065">
          <w:marLeft w:val="1166"/>
          <w:marRight w:val="0"/>
          <w:marTop w:val="192"/>
          <w:marBottom w:val="0"/>
          <w:divBdr>
            <w:top w:val="none" w:sz="0" w:space="0" w:color="auto"/>
            <w:left w:val="none" w:sz="0" w:space="0" w:color="auto"/>
            <w:bottom w:val="none" w:sz="0" w:space="0" w:color="auto"/>
            <w:right w:val="none" w:sz="0" w:space="0" w:color="auto"/>
          </w:divBdr>
        </w:div>
        <w:div w:id="515193957">
          <w:marLeft w:val="1166"/>
          <w:marRight w:val="0"/>
          <w:marTop w:val="192"/>
          <w:marBottom w:val="0"/>
          <w:divBdr>
            <w:top w:val="none" w:sz="0" w:space="0" w:color="auto"/>
            <w:left w:val="none" w:sz="0" w:space="0" w:color="auto"/>
            <w:bottom w:val="none" w:sz="0" w:space="0" w:color="auto"/>
            <w:right w:val="none" w:sz="0" w:space="0" w:color="auto"/>
          </w:divBdr>
        </w:div>
        <w:div w:id="2130468072">
          <w:marLeft w:val="1166"/>
          <w:marRight w:val="0"/>
          <w:marTop w:val="192"/>
          <w:marBottom w:val="0"/>
          <w:divBdr>
            <w:top w:val="none" w:sz="0" w:space="0" w:color="auto"/>
            <w:left w:val="none" w:sz="0" w:space="0" w:color="auto"/>
            <w:bottom w:val="none" w:sz="0" w:space="0" w:color="auto"/>
            <w:right w:val="none" w:sz="0" w:space="0" w:color="auto"/>
          </w:divBdr>
        </w:div>
        <w:div w:id="453912633">
          <w:marLeft w:val="1166"/>
          <w:marRight w:val="0"/>
          <w:marTop w:val="192"/>
          <w:marBottom w:val="0"/>
          <w:divBdr>
            <w:top w:val="none" w:sz="0" w:space="0" w:color="auto"/>
            <w:left w:val="none" w:sz="0" w:space="0" w:color="auto"/>
            <w:bottom w:val="none" w:sz="0" w:space="0" w:color="auto"/>
            <w:right w:val="none" w:sz="0" w:space="0" w:color="auto"/>
          </w:divBdr>
        </w:div>
        <w:div w:id="1814635162">
          <w:marLeft w:val="1166"/>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cid:image002.png@01D23AAE.1900D090"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Foglio_di_lavoro_di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Foglio_di_lavoro_di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lrMapOvr bg1="lt1" tx1="dk1" bg2="lt2" tx2="dk2" accent1="accent1" accent2="accent2" accent3="accent3" accent4="accent4" accent5="accent5" accent6="accent6" hlink="hlink" folHlink="folHlink"/>
  <c:chart>
    <c:title>
      <c:tx>
        <c:rich>
          <a:bodyPr/>
          <a:lstStyle/>
          <a:p>
            <a:pPr>
              <a:defRPr sz="700"/>
            </a:pPr>
            <a:r>
              <a:rPr lang="en-US" sz="700"/>
              <a:t>Composizione</a:t>
            </a:r>
            <a:r>
              <a:rPr lang="en-US" sz="700" baseline="0"/>
              <a:t> per settore </a:t>
            </a:r>
            <a:r>
              <a:rPr lang="en-US" sz="700"/>
              <a:t>(MV%) dati al 31 Gennaio 2018</a:t>
            </a:r>
          </a:p>
        </c:rich>
      </c:tx>
      <c:layout>
        <c:manualLayout>
          <c:xMode val="edge"/>
          <c:yMode val="edge"/>
          <c:x val="0.18006076793994691"/>
          <c:y val="2.0969467768811055E-2"/>
        </c:manualLayout>
      </c:layout>
    </c:title>
    <c:plotArea>
      <c:layout>
        <c:manualLayout>
          <c:layoutTarget val="inner"/>
          <c:xMode val="edge"/>
          <c:yMode val="edge"/>
          <c:x val="0.16715476540546123"/>
          <c:y val="0.18786892032833619"/>
          <c:w val="0.7079449037014417"/>
          <c:h val="0.77523188140410682"/>
        </c:manualLayout>
      </c:layout>
      <c:pieChart>
        <c:varyColors val="1"/>
        <c:ser>
          <c:idx val="0"/>
          <c:order val="0"/>
          <c:dLbls>
            <c:dLbl>
              <c:idx val="0"/>
              <c:layout>
                <c:manualLayout>
                  <c:x val="-1.1864296098736246E-3"/>
                  <c:y val="-0.14878386662738943"/>
                </c:manualLayout>
              </c:layout>
              <c:showCatName val="1"/>
              <c:showPercent val="1"/>
            </c:dLbl>
            <c:dLbl>
              <c:idx val="1"/>
              <c:layout>
                <c:manualLayout>
                  <c:x val="-2.4854986876640419E-2"/>
                  <c:y val="-4.808289588801401E-2"/>
                </c:manualLayout>
              </c:layout>
              <c:showCatName val="1"/>
              <c:showPercent val="1"/>
            </c:dLbl>
            <c:dLbl>
              <c:idx val="2"/>
              <c:layout>
                <c:manualLayout>
                  <c:x val="-2.8223753280839894E-2"/>
                  <c:y val="1.2023913677456982E-2"/>
                </c:manualLayout>
              </c:layout>
              <c:showCatName val="1"/>
              <c:showPercent val="1"/>
            </c:dLbl>
            <c:dLbl>
              <c:idx val="3"/>
              <c:layout>
                <c:manualLayout>
                  <c:x val="-3.2107652397123994E-2"/>
                  <c:y val="2.8961893041981799E-2"/>
                </c:manualLayout>
              </c:layout>
              <c:showCatName val="1"/>
              <c:showPercent val="1"/>
            </c:dLbl>
            <c:dLbl>
              <c:idx val="4"/>
              <c:layout>
                <c:manualLayout>
                  <c:x val="1.5357485128911405E-2"/>
                  <c:y val="4.6335446937290782E-2"/>
                </c:manualLayout>
              </c:layout>
              <c:showCatName val="1"/>
              <c:showPercent val="1"/>
            </c:dLbl>
            <c:txPr>
              <a:bodyPr/>
              <a:lstStyle/>
              <a:p>
                <a:pPr>
                  <a:defRPr sz="800"/>
                </a:pPr>
                <a:endParaRPr lang="it-IT"/>
              </a:p>
            </c:txPr>
            <c:showCatName val="1"/>
            <c:showPercent val="1"/>
            <c:showLeaderLines val="1"/>
          </c:dLbls>
          <c:cat>
            <c:strRef>
              <c:f>Sheet1!$A$2:$A$6</c:f>
              <c:strCache>
                <c:ptCount val="5"/>
                <c:pt idx="0">
                  <c:v>Treasury </c:v>
                </c:pt>
                <c:pt idx="1">
                  <c:v>Govt Related </c:v>
                </c:pt>
                <c:pt idx="2">
                  <c:v>Corp Industrials </c:v>
                </c:pt>
                <c:pt idx="3">
                  <c:v>Corp Utilities </c:v>
                </c:pt>
                <c:pt idx="4">
                  <c:v>Covered </c:v>
                </c:pt>
              </c:strCache>
            </c:strRef>
          </c:cat>
          <c:val>
            <c:numRef>
              <c:f>Sheet1!$B$2:$B$6</c:f>
              <c:numCache>
                <c:formatCode>0.0%</c:formatCode>
                <c:ptCount val="5"/>
                <c:pt idx="0">
                  <c:v>0.49400000000000016</c:v>
                </c:pt>
                <c:pt idx="1">
                  <c:v>0.20600000000000004</c:v>
                </c:pt>
                <c:pt idx="2">
                  <c:v>0.15400000000000005</c:v>
                </c:pt>
                <c:pt idx="3">
                  <c:v>1.8000000000000009E-2</c:v>
                </c:pt>
                <c:pt idx="4">
                  <c:v>0.128</c:v>
                </c:pt>
              </c:numCache>
            </c:numRef>
          </c:val>
        </c:ser>
        <c:dLbls>
          <c:showCatName val="1"/>
          <c:showPercent val="1"/>
        </c:dLbls>
        <c:firstSliceAng val="0"/>
      </c:pieChart>
    </c:plotArea>
    <c:plotVisOnly val="1"/>
    <c:dispBlanksAs val="zero"/>
  </c:chart>
  <c:spPr>
    <a:ln>
      <a:solidFill>
        <a:sysClr val="window" lastClr="FFFFFF"/>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it-IT"/>
  <c:clrMapOvr bg1="lt1" tx1="dk1" bg2="lt2" tx2="dk2" accent1="accent1" accent2="accent2" accent3="accent3" accent4="accent4" accent5="accent5" accent6="accent6" hlink="hlink" folHlink="folHlink"/>
  <c:chart>
    <c:title>
      <c:tx>
        <c:rich>
          <a:bodyPr/>
          <a:lstStyle/>
          <a:p>
            <a:pPr algn="ctr" rtl="0">
              <a:defRPr lang="en-US" sz="700" b="1" i="0" u="none" strike="noStrike" kern="1200" baseline="0">
                <a:solidFill>
                  <a:sysClr val="windowText" lastClr="000000"/>
                </a:solidFill>
                <a:latin typeface="+mn-lt"/>
                <a:ea typeface="+mn-ea"/>
                <a:cs typeface="+mn-cs"/>
              </a:defRPr>
            </a:pPr>
            <a:r>
              <a:rPr lang="en-US" sz="700" b="1" i="0" u="none" strike="noStrike" kern="1200" baseline="0">
                <a:solidFill>
                  <a:sysClr val="windowText" lastClr="000000"/>
                </a:solidFill>
                <a:latin typeface="+mn-lt"/>
                <a:ea typeface="+mn-ea"/>
                <a:cs typeface="+mn-cs"/>
              </a:rPr>
              <a:t>Composizione per qualità (MV%) dati al 31 Gennaio 2018</a:t>
            </a:r>
          </a:p>
        </c:rich>
      </c:tx>
      <c:layout>
        <c:manualLayout>
          <c:xMode val="edge"/>
          <c:yMode val="edge"/>
          <c:x val="0.13437889363616914"/>
          <c:y val="2.0984668898233398E-3"/>
        </c:manualLayout>
      </c:layout>
    </c:title>
    <c:plotArea>
      <c:layout>
        <c:manualLayout>
          <c:layoutTarget val="inner"/>
          <c:xMode val="edge"/>
          <c:yMode val="edge"/>
          <c:x val="0.18898175055029631"/>
          <c:y val="0.16829801036775172"/>
          <c:w val="0.63581531537937686"/>
          <c:h val="0.7982533929290585"/>
        </c:manualLayout>
      </c:layout>
      <c:pieChart>
        <c:varyColors val="1"/>
        <c:ser>
          <c:idx val="0"/>
          <c:order val="0"/>
          <c:dLbls>
            <c:dLbl>
              <c:idx val="0"/>
              <c:layout>
                <c:manualLayout>
                  <c:x val="4.2535651793525822E-2"/>
                  <c:y val="4.2424176144648593E-2"/>
                </c:manualLayout>
              </c:layout>
              <c:showCatName val="1"/>
              <c:showPercent val="1"/>
            </c:dLbl>
            <c:dLbl>
              <c:idx val="1"/>
              <c:layout>
                <c:manualLayout>
                  <c:x val="2.9064523184601926E-2"/>
                  <c:y val="-9.2308253135024762E-2"/>
                </c:manualLayout>
              </c:layout>
              <c:showCatName val="1"/>
              <c:showPercent val="1"/>
            </c:dLbl>
            <c:dLbl>
              <c:idx val="2"/>
              <c:layout>
                <c:manualLayout>
                  <c:x val="-0.11054719905947935"/>
                  <c:y val="-2.7318617744031604E-3"/>
                </c:manualLayout>
              </c:layout>
              <c:showCatName val="1"/>
              <c:showPercent val="1"/>
            </c:dLbl>
            <c:dLbl>
              <c:idx val="3"/>
              <c:layout>
                <c:manualLayout>
                  <c:x val="-2.2109580052493442E-3"/>
                  <c:y val="-8.5392971711869391E-3"/>
                </c:manualLayout>
              </c:layout>
              <c:showCatName val="1"/>
              <c:showPercent val="1"/>
            </c:dLbl>
            <c:txPr>
              <a:bodyPr/>
              <a:lstStyle/>
              <a:p>
                <a:pPr>
                  <a:defRPr sz="800"/>
                </a:pPr>
                <a:endParaRPr lang="it-IT"/>
              </a:p>
            </c:txPr>
            <c:showCatName val="1"/>
            <c:showPercent val="1"/>
            <c:showLeaderLines val="1"/>
          </c:dLbls>
          <c:cat>
            <c:strRef>
              <c:f>Sheet1!$D$2:$D$5</c:f>
              <c:strCache>
                <c:ptCount val="4"/>
                <c:pt idx="0">
                  <c:v>AAA</c:v>
                </c:pt>
                <c:pt idx="1">
                  <c:v>AA</c:v>
                </c:pt>
                <c:pt idx="2">
                  <c:v>A</c:v>
                </c:pt>
                <c:pt idx="3">
                  <c:v>BBB</c:v>
                </c:pt>
              </c:strCache>
            </c:strRef>
          </c:cat>
          <c:val>
            <c:numRef>
              <c:f>Sheet1!$E$2:$E$5</c:f>
              <c:numCache>
                <c:formatCode>0%</c:formatCode>
                <c:ptCount val="4"/>
                <c:pt idx="0">
                  <c:v>0.24500000000000005</c:v>
                </c:pt>
                <c:pt idx="1">
                  <c:v>0.255</c:v>
                </c:pt>
                <c:pt idx="2">
                  <c:v>5.7000000000000016E-2</c:v>
                </c:pt>
                <c:pt idx="3">
                  <c:v>0.443</c:v>
                </c:pt>
              </c:numCache>
            </c:numRef>
          </c:val>
        </c:ser>
        <c:dLbls>
          <c:showCatName val="1"/>
          <c:showPercent val="1"/>
        </c:dLbls>
        <c:firstSliceAng val="0"/>
      </c:pieChart>
    </c:plotArea>
    <c:plotVisOnly val="1"/>
    <c:dispBlanksAs val="zero"/>
  </c:chart>
  <c:spPr>
    <a:ln>
      <a:solidFill>
        <a:sysClr val="window" lastClr="FFFFFF"/>
      </a:solid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UBS 2017">
    <a:dk1>
      <a:srgbClr val="000000"/>
    </a:dk1>
    <a:lt1>
      <a:srgbClr val="FFFFFF"/>
    </a:lt1>
    <a:dk2>
      <a:srgbClr val="E60000"/>
    </a:dk2>
    <a:lt2>
      <a:srgbClr val="FFFFFF"/>
    </a:lt2>
    <a:accent1>
      <a:srgbClr val="4D3C2F"/>
    </a:accent1>
    <a:accent2>
      <a:srgbClr val="CFBD9B"/>
    </a:accent2>
    <a:accent3>
      <a:srgbClr val="C07156"/>
    </a:accent3>
    <a:accent4>
      <a:srgbClr val="E8C767"/>
    </a:accent4>
    <a:accent5>
      <a:srgbClr val="AEB0B3"/>
    </a:accent5>
    <a:accent6>
      <a:srgbClr val="A43725"/>
    </a:accent6>
    <a:hlink>
      <a:srgbClr val="0000FF"/>
    </a:hlink>
    <a:folHlink>
      <a:srgbClr val="800080"/>
    </a:folHlink>
  </a:clrScheme>
  <a:fontScheme name="UBS OnScreen Fontset">
    <a:majorFont>
      <a:latin typeface="UBSHeadline"/>
      <a:ea typeface="MS PGothic"/>
      <a:cs typeface=""/>
    </a:majorFont>
    <a:minorFont>
      <a:latin typeface="Frutiger 55 Roman"/>
      <a:ea typeface="MS PGothic"/>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UBS 2017">
    <a:dk1>
      <a:srgbClr val="000000"/>
    </a:dk1>
    <a:lt1>
      <a:srgbClr val="FFFFFF"/>
    </a:lt1>
    <a:dk2>
      <a:srgbClr val="E60000"/>
    </a:dk2>
    <a:lt2>
      <a:srgbClr val="FFFFFF"/>
    </a:lt2>
    <a:accent1>
      <a:srgbClr val="4D3C2F"/>
    </a:accent1>
    <a:accent2>
      <a:srgbClr val="CFBD9B"/>
    </a:accent2>
    <a:accent3>
      <a:srgbClr val="C07156"/>
    </a:accent3>
    <a:accent4>
      <a:srgbClr val="E8C767"/>
    </a:accent4>
    <a:accent5>
      <a:srgbClr val="AEB0B3"/>
    </a:accent5>
    <a:accent6>
      <a:srgbClr val="A43725"/>
    </a:accent6>
    <a:hlink>
      <a:srgbClr val="0000FF"/>
    </a:hlink>
    <a:folHlink>
      <a:srgbClr val="800080"/>
    </a:folHlink>
  </a:clrScheme>
  <a:fontScheme name="UBS OnScreen Fontset">
    <a:majorFont>
      <a:latin typeface="UBSHeadline"/>
      <a:ea typeface="MS PGothic"/>
      <a:cs typeface=""/>
    </a:majorFont>
    <a:minorFont>
      <a:latin typeface="Frutiger 55 Roman"/>
      <a:ea typeface="MS PGothic"/>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98FA0-F7D3-4C3A-9357-C475CBED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5240</Characters>
  <Application>Microsoft Office Word</Application>
  <DocSecurity>0</DocSecurity>
  <PresentationFormat>e3963064-a301-4151-a7ac-b2494813779c</PresentationFormat>
  <Lines>43</Lines>
  <Paragraphs>12</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Nardelli, Paola</dc:creator>
  <cp:lastModifiedBy>tenini</cp:lastModifiedBy>
  <cp:revision>2</cp:revision>
  <cp:lastPrinted>2018-06-28T13:24:00Z</cp:lastPrinted>
  <dcterms:created xsi:type="dcterms:W3CDTF">2018-07-11T06:37:00Z</dcterms:created>
  <dcterms:modified xsi:type="dcterms:W3CDTF">2018-07-11T06:37:00Z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
    <vt:lpwstr>WsvquqKqektl9JPRUgDE5oGdQha5HskwjKI7hLzG1xIbxAS1u2QGl8uJtzmVtrGrSAkh/s8KBrvht1GbY2kHSg==</vt:lpwstr>
  </property>
  <property fmtid="{D5CDD505-2E9C-101B-9397-08002B2CF9AE}" pid="3" name="IQP_Classification">
    <vt:lpwstr>Internal</vt:lpwstr>
  </property>
  <property fmtid="{D5CDD505-2E9C-101B-9397-08002B2CF9AE}" pid="4" name="_SIProp12DataClass+e09bbfc2-ea1a-46da-bc90-56b72333b9d1">
    <vt:lpwstr>v=1.2&gt;I=e09bbfc2-ea1a-46da-bc90-56b72333b9d1&amp;N=Internal&amp;V=1.3&amp;U=UBSPROD%5cbonardia&amp;D=Ullrich%2c+Andrea&amp;A=Associated&amp;H=True</vt:lpwstr>
  </property>
</Properties>
</file>